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FA9E9" w14:textId="77777777" w:rsidR="00EA3A4D" w:rsidRDefault="00000000">
      <w:pPr>
        <w:spacing w:after="0" w:line="259" w:lineRule="auto"/>
        <w:ind w:left="88" w:firstLine="0"/>
        <w:jc w:val="center"/>
      </w:pPr>
      <w:r>
        <w:rPr>
          <w:noProof/>
        </w:rPr>
        <w:drawing>
          <wp:inline distT="0" distB="0" distL="0" distR="0" wp14:anchorId="4990FFF7" wp14:editId="5AB87BB3">
            <wp:extent cx="2793492" cy="62484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5"/>
                    <a:stretch>
                      <a:fillRect/>
                    </a:stretch>
                  </pic:blipFill>
                  <pic:spPr>
                    <a:xfrm>
                      <a:off x="0" y="0"/>
                      <a:ext cx="2793492" cy="624840"/>
                    </a:xfrm>
                    <a:prstGeom prst="rect">
                      <a:avLst/>
                    </a:prstGeom>
                  </pic:spPr>
                </pic:pic>
              </a:graphicData>
            </a:graphic>
          </wp:inline>
        </w:drawing>
      </w:r>
      <w:r>
        <w:rPr>
          <w:rFonts w:ascii="Calibri" w:eastAsia="Calibri" w:hAnsi="Calibri" w:cs="Calibri"/>
        </w:rPr>
        <w:t xml:space="preserve"> </w:t>
      </w:r>
    </w:p>
    <w:p w14:paraId="79762A74" w14:textId="77777777" w:rsidR="00EA3A4D" w:rsidRDefault="00000000">
      <w:pPr>
        <w:spacing w:after="158" w:line="259" w:lineRule="auto"/>
        <w:ind w:left="5" w:right="2446" w:firstLine="0"/>
      </w:pPr>
      <w:r>
        <w:t xml:space="preserve"> </w:t>
      </w:r>
    </w:p>
    <w:p w14:paraId="4547AA0A" w14:textId="77777777" w:rsidR="00EA3A4D" w:rsidRDefault="00000000">
      <w:pPr>
        <w:spacing w:after="137" w:line="259" w:lineRule="auto"/>
        <w:ind w:left="37" w:firstLine="0"/>
        <w:jc w:val="center"/>
      </w:pPr>
      <w:r>
        <w:rPr>
          <w:b/>
        </w:rPr>
        <w:t xml:space="preserve">MEMORIAL RESOLUTION HONORING JENNIFER FORD PAUSTENBAUGH </w:t>
      </w:r>
    </w:p>
    <w:p w14:paraId="69530BE2" w14:textId="77777777" w:rsidR="00EA3A4D" w:rsidRDefault="00000000">
      <w:pPr>
        <w:spacing w:after="0" w:line="259" w:lineRule="auto"/>
        <w:ind w:left="5" w:firstLine="0"/>
      </w:pPr>
      <w:r>
        <w:rPr>
          <w:b/>
        </w:rPr>
        <w:t xml:space="preserve"> </w:t>
      </w:r>
    </w:p>
    <w:p w14:paraId="31FBDD88" w14:textId="77777777" w:rsidR="00EA3A4D" w:rsidRDefault="00000000">
      <w:pPr>
        <w:ind w:left="0"/>
      </w:pPr>
      <w:r>
        <w:rPr>
          <w:b/>
        </w:rPr>
        <w:t xml:space="preserve">Whereas </w:t>
      </w:r>
      <w:r>
        <w:t xml:space="preserve">Jennifer Ford Paustenbaugh, a renowned library leader and, since 2013, </w:t>
      </w:r>
    </w:p>
    <w:p w14:paraId="266E6A9F" w14:textId="77777777" w:rsidR="00EA3A4D" w:rsidRDefault="00000000">
      <w:pPr>
        <w:spacing w:after="146"/>
        <w:ind w:left="0"/>
      </w:pPr>
      <w:r>
        <w:t xml:space="preserve">University Librarian at Brigham Young University, died November 23, </w:t>
      </w:r>
      <w:proofErr w:type="gramStart"/>
      <w:r>
        <w:t>2019;</w:t>
      </w:r>
      <w:proofErr w:type="gramEnd"/>
      <w:r>
        <w:t xml:space="preserve">  </w:t>
      </w:r>
    </w:p>
    <w:p w14:paraId="74FD22C9" w14:textId="77777777" w:rsidR="00EA3A4D" w:rsidRDefault="00000000">
      <w:pPr>
        <w:spacing w:after="242" w:line="238" w:lineRule="auto"/>
        <w:ind w:left="5" w:firstLine="0"/>
      </w:pPr>
      <w:r>
        <w:rPr>
          <w:b/>
        </w:rPr>
        <w:t>Whereas</w:t>
      </w:r>
      <w:r>
        <w:rPr>
          <w:i/>
        </w:rPr>
        <w:t xml:space="preserve"> </w:t>
      </w:r>
      <w:r>
        <w:t xml:space="preserve">Jennifer Paustenbaugh’s career included service at </w:t>
      </w:r>
      <w:r>
        <w:rPr>
          <w:color w:val="444444"/>
        </w:rPr>
        <w:t xml:space="preserve">Oklahoma State University </w:t>
      </w:r>
      <w:r>
        <w:t xml:space="preserve">as </w:t>
      </w:r>
      <w:r>
        <w:rPr>
          <w:color w:val="444444"/>
        </w:rPr>
        <w:t xml:space="preserve">Associate Dean of Libraries for Planning and Assessment and in prior positions as </w:t>
      </w:r>
      <w:r>
        <w:rPr>
          <w:color w:val="404040"/>
        </w:rPr>
        <w:t xml:space="preserve">Head of the Patent and Trademark Library, Director of Library Development, Puterbaugh Foundation Professor of Library Service and Head of Special Collections and University Archives, and as the Executive Director of the Women's </w:t>
      </w:r>
      <w:proofErr w:type="gramStart"/>
      <w:r>
        <w:rPr>
          <w:color w:val="404040"/>
        </w:rPr>
        <w:t>Archives;</w:t>
      </w:r>
      <w:proofErr w:type="gramEnd"/>
      <w:r>
        <w:rPr>
          <w:color w:val="444444"/>
        </w:rPr>
        <w:t xml:space="preserve"> </w:t>
      </w:r>
    </w:p>
    <w:p w14:paraId="2E2C6EBC" w14:textId="77777777" w:rsidR="00EA3A4D" w:rsidRDefault="00000000">
      <w:pPr>
        <w:spacing w:after="2" w:line="238" w:lineRule="auto"/>
        <w:ind w:left="0"/>
      </w:pPr>
      <w:proofErr w:type="gramStart"/>
      <w:r>
        <w:rPr>
          <w:b/>
        </w:rPr>
        <w:t>Whereas</w:t>
      </w:r>
      <w:r>
        <w:rPr>
          <w:i/>
        </w:rPr>
        <w:t>,</w:t>
      </w:r>
      <w:proofErr w:type="gramEnd"/>
      <w:r>
        <w:rPr>
          <w:i/>
        </w:rPr>
        <w:t xml:space="preserve"> </w:t>
      </w:r>
      <w:r>
        <w:t xml:space="preserve">Jennifer Paustenbaugh </w:t>
      </w:r>
      <w:r>
        <w:rPr>
          <w:color w:val="444444"/>
        </w:rPr>
        <w:t xml:space="preserve">represented the BYU library in national associations such as the Association of Research Libraries (ARL), The Greater Wester Library Alliance </w:t>
      </w:r>
    </w:p>
    <w:p w14:paraId="79A0E38E" w14:textId="77777777" w:rsidR="00EA3A4D" w:rsidRDefault="00000000">
      <w:pPr>
        <w:spacing w:after="239" w:line="238" w:lineRule="auto"/>
        <w:ind w:left="0"/>
      </w:pPr>
      <w:r>
        <w:rPr>
          <w:color w:val="444444"/>
        </w:rPr>
        <w:t xml:space="preserve">(GWLA), the Utah Academic Library Consortium (UALC), The Consortium of Church Archives and Libraries (CCLA), and many other </w:t>
      </w:r>
      <w:proofErr w:type="gramStart"/>
      <w:r>
        <w:rPr>
          <w:color w:val="444444"/>
        </w:rPr>
        <w:t>organizations;</w:t>
      </w:r>
      <w:proofErr w:type="gramEnd"/>
      <w:r>
        <w:rPr>
          <w:color w:val="444444"/>
        </w:rPr>
        <w:t xml:space="preserve">  </w:t>
      </w:r>
    </w:p>
    <w:p w14:paraId="2C46C6CF" w14:textId="77777777" w:rsidR="00EA3A4D" w:rsidRDefault="00000000">
      <w:pPr>
        <w:spacing w:after="239" w:line="238" w:lineRule="auto"/>
        <w:ind w:left="0"/>
      </w:pPr>
      <w:proofErr w:type="gramStart"/>
      <w:r>
        <w:rPr>
          <w:b/>
        </w:rPr>
        <w:t>Whereas,</w:t>
      </w:r>
      <w:proofErr w:type="gramEnd"/>
      <w:r>
        <w:rPr>
          <w:i/>
        </w:rPr>
        <w:t xml:space="preserve"> </w:t>
      </w:r>
      <w:r>
        <w:t>Jennifer Paustenbaugh</w:t>
      </w:r>
      <w:r>
        <w:rPr>
          <w:color w:val="444444"/>
        </w:rPr>
        <w:t xml:space="preserve"> transformed library services, programs, and structures to make them more student focused and developed new ways for students to access scholarly resources, ensuring that students will benefit from her influence for years to </w:t>
      </w:r>
      <w:proofErr w:type="gramStart"/>
      <w:r>
        <w:rPr>
          <w:color w:val="444444"/>
        </w:rPr>
        <w:t>come;</w:t>
      </w:r>
      <w:proofErr w:type="gramEnd"/>
      <w:r>
        <w:rPr>
          <w:color w:val="444444"/>
        </w:rPr>
        <w:t xml:space="preserve"> </w:t>
      </w:r>
    </w:p>
    <w:p w14:paraId="3245AF5E" w14:textId="77777777" w:rsidR="00EA3A4D" w:rsidRDefault="00000000">
      <w:pPr>
        <w:spacing w:after="151"/>
        <w:ind w:left="0"/>
      </w:pPr>
      <w:proofErr w:type="gramStart"/>
      <w:r>
        <w:rPr>
          <w:b/>
        </w:rPr>
        <w:t>Whereas,</w:t>
      </w:r>
      <w:proofErr w:type="gramEnd"/>
      <w:r>
        <w:rPr>
          <w:i/>
        </w:rPr>
        <w:t xml:space="preserve"> </w:t>
      </w:r>
      <w:r>
        <w:t xml:space="preserve">Jennifer Paustenbaugh served the American Library Association (ALA) and its various divisions continuously for </w:t>
      </w:r>
      <w:proofErr w:type="gramStart"/>
      <w:r>
        <w:t>twenty nine</w:t>
      </w:r>
      <w:proofErr w:type="gramEnd"/>
      <w:r>
        <w:t xml:space="preserve"> years, from 1990 through </w:t>
      </w:r>
      <w:proofErr w:type="gramStart"/>
      <w:r>
        <w:t>2019;</w:t>
      </w:r>
      <w:proofErr w:type="gramEnd"/>
      <w:r>
        <w:rPr>
          <w:i/>
        </w:rPr>
        <w:t xml:space="preserve"> </w:t>
      </w:r>
    </w:p>
    <w:p w14:paraId="36657D85" w14:textId="77777777" w:rsidR="00EA3A4D" w:rsidRDefault="00000000">
      <w:pPr>
        <w:ind w:left="0"/>
      </w:pPr>
      <w:proofErr w:type="gramStart"/>
      <w:r>
        <w:rPr>
          <w:b/>
        </w:rPr>
        <w:t>Whereas,</w:t>
      </w:r>
      <w:proofErr w:type="gramEnd"/>
      <w:r>
        <w:rPr>
          <w:i/>
        </w:rPr>
        <w:t xml:space="preserve"> </w:t>
      </w:r>
      <w:r>
        <w:t xml:space="preserve">Jennifer Paustenbaugh served the Library Leadership and Management </w:t>
      </w:r>
    </w:p>
    <w:p w14:paraId="6E8D1F05" w14:textId="77777777" w:rsidR="00EA3A4D" w:rsidRDefault="00000000">
      <w:pPr>
        <w:spacing w:after="151"/>
        <w:ind w:left="0"/>
      </w:pPr>
      <w:r>
        <w:t xml:space="preserve">Association (LLAMA) through a variety of appointments, most recently as Chair of the LLAMA President’s Planning </w:t>
      </w:r>
      <w:proofErr w:type="gramStart"/>
      <w:r>
        <w:t>Committee;</w:t>
      </w:r>
      <w:proofErr w:type="gramEnd"/>
      <w:r>
        <w:t xml:space="preserve">   </w:t>
      </w:r>
      <w:r>
        <w:rPr>
          <w:i/>
        </w:rPr>
        <w:t xml:space="preserve"> </w:t>
      </w:r>
    </w:p>
    <w:p w14:paraId="36EBFC80" w14:textId="77777777" w:rsidR="00EA3A4D" w:rsidRDefault="00000000">
      <w:pPr>
        <w:spacing w:after="151"/>
        <w:ind w:left="0"/>
      </w:pPr>
      <w:proofErr w:type="gramStart"/>
      <w:r>
        <w:rPr>
          <w:b/>
        </w:rPr>
        <w:t>Whereas,</w:t>
      </w:r>
      <w:proofErr w:type="gramEnd"/>
      <w:r>
        <w:rPr>
          <w:i/>
        </w:rPr>
        <w:t xml:space="preserve"> </w:t>
      </w:r>
      <w:r>
        <w:t xml:space="preserve">Jennifer Paustenbaugh served the Association for Library Collections and Technical Services (ALCTS) as the chair of ALCTS’ first Fundraising Committee, through which she shared considerable expertise not widely held at that time among the membership and brought cohesion and consolidation to </w:t>
      </w:r>
      <w:proofErr w:type="gramStart"/>
      <w:r>
        <w:t>a previously</w:t>
      </w:r>
      <w:proofErr w:type="gramEnd"/>
      <w:r>
        <w:t xml:space="preserve"> piecemeal fundraising program, resulting in greater dollars being raised and directed to ALCTS key priorities; and  </w:t>
      </w:r>
    </w:p>
    <w:p w14:paraId="164293BE" w14:textId="77777777" w:rsidR="00EA3A4D" w:rsidRDefault="00000000">
      <w:pPr>
        <w:ind w:left="0"/>
      </w:pPr>
      <w:proofErr w:type="gramStart"/>
      <w:r>
        <w:rPr>
          <w:b/>
        </w:rPr>
        <w:t>Whereas,</w:t>
      </w:r>
      <w:proofErr w:type="gramEnd"/>
      <w:r>
        <w:rPr>
          <w:i/>
        </w:rPr>
        <w:t xml:space="preserve"> </w:t>
      </w:r>
      <w:r>
        <w:t xml:space="preserve">Jennifer Paustenbaugh served the Association for College and Research </w:t>
      </w:r>
    </w:p>
    <w:p w14:paraId="132AA051" w14:textId="77777777" w:rsidR="00EA3A4D" w:rsidRDefault="00000000">
      <w:pPr>
        <w:spacing w:after="151"/>
        <w:ind w:left="0"/>
      </w:pPr>
      <w:r>
        <w:t xml:space="preserve">Libraries (ACRL) as a longtime member and through service on the ACRL/RBMS Conference Planning Committee; now therefore, be it  </w:t>
      </w:r>
    </w:p>
    <w:p w14:paraId="6554F10E" w14:textId="77777777" w:rsidR="00EA3A4D" w:rsidRDefault="00000000">
      <w:pPr>
        <w:spacing w:after="137" w:line="259" w:lineRule="auto"/>
        <w:ind w:left="5" w:firstLine="0"/>
      </w:pPr>
      <w:r>
        <w:rPr>
          <w:i/>
        </w:rPr>
        <w:t xml:space="preserve"> </w:t>
      </w:r>
    </w:p>
    <w:p w14:paraId="06B097AE" w14:textId="77777777" w:rsidR="00EA3A4D" w:rsidRDefault="00000000">
      <w:pPr>
        <w:spacing w:after="137" w:line="259" w:lineRule="auto"/>
        <w:ind w:left="5" w:firstLine="0"/>
      </w:pPr>
      <w:r>
        <w:rPr>
          <w:i/>
        </w:rPr>
        <w:t xml:space="preserve"> </w:t>
      </w:r>
    </w:p>
    <w:p w14:paraId="3FB7AFC6" w14:textId="77777777" w:rsidR="00EA3A4D" w:rsidRDefault="00000000">
      <w:pPr>
        <w:spacing w:after="137" w:line="259" w:lineRule="auto"/>
        <w:ind w:left="5" w:firstLine="0"/>
      </w:pPr>
      <w:r>
        <w:rPr>
          <w:i/>
        </w:rPr>
        <w:t xml:space="preserve"> </w:t>
      </w:r>
    </w:p>
    <w:p w14:paraId="04DF164D" w14:textId="77777777" w:rsidR="00EA3A4D" w:rsidRDefault="00000000">
      <w:pPr>
        <w:spacing w:after="137" w:line="259" w:lineRule="auto"/>
        <w:ind w:left="5" w:firstLine="0"/>
      </w:pPr>
      <w:r>
        <w:rPr>
          <w:i/>
        </w:rPr>
        <w:t xml:space="preserve"> </w:t>
      </w:r>
    </w:p>
    <w:p w14:paraId="7D673381" w14:textId="77777777" w:rsidR="00EA3A4D" w:rsidRDefault="00000000">
      <w:pPr>
        <w:spacing w:after="0" w:line="259" w:lineRule="auto"/>
        <w:ind w:left="5" w:firstLine="0"/>
      </w:pPr>
      <w:r>
        <w:rPr>
          <w:i/>
        </w:rPr>
        <w:lastRenderedPageBreak/>
        <w:t xml:space="preserve"> </w:t>
      </w:r>
    </w:p>
    <w:p w14:paraId="7B2FCA28" w14:textId="77777777" w:rsidR="00EA3A4D" w:rsidRDefault="00000000">
      <w:pPr>
        <w:spacing w:after="0" w:line="259" w:lineRule="auto"/>
        <w:ind w:left="88" w:firstLine="0"/>
        <w:jc w:val="center"/>
      </w:pPr>
      <w:r>
        <w:rPr>
          <w:noProof/>
        </w:rPr>
        <w:drawing>
          <wp:inline distT="0" distB="0" distL="0" distR="0" wp14:anchorId="726E5B1D" wp14:editId="0EAA669E">
            <wp:extent cx="2793492" cy="624840"/>
            <wp:effectExtent l="0" t="0" r="0" b="0"/>
            <wp:docPr id="90" name="Picture 90"/>
            <wp:cNvGraphicFramePr/>
            <a:graphic xmlns:a="http://schemas.openxmlformats.org/drawingml/2006/main">
              <a:graphicData uri="http://schemas.openxmlformats.org/drawingml/2006/picture">
                <pic:pic xmlns:pic="http://schemas.openxmlformats.org/drawingml/2006/picture">
                  <pic:nvPicPr>
                    <pic:cNvPr id="90" name="Picture 90"/>
                    <pic:cNvPicPr/>
                  </pic:nvPicPr>
                  <pic:blipFill>
                    <a:blip r:embed="rId5"/>
                    <a:stretch>
                      <a:fillRect/>
                    </a:stretch>
                  </pic:blipFill>
                  <pic:spPr>
                    <a:xfrm>
                      <a:off x="0" y="0"/>
                      <a:ext cx="2793492" cy="624840"/>
                    </a:xfrm>
                    <a:prstGeom prst="rect">
                      <a:avLst/>
                    </a:prstGeom>
                  </pic:spPr>
                </pic:pic>
              </a:graphicData>
            </a:graphic>
          </wp:inline>
        </w:drawing>
      </w:r>
      <w:r>
        <w:rPr>
          <w:rFonts w:ascii="Calibri" w:eastAsia="Calibri" w:hAnsi="Calibri" w:cs="Calibri"/>
        </w:rPr>
        <w:t xml:space="preserve"> </w:t>
      </w:r>
    </w:p>
    <w:p w14:paraId="736B48C1" w14:textId="77777777" w:rsidR="00EA3A4D" w:rsidRDefault="00000000">
      <w:pPr>
        <w:spacing w:after="137" w:line="259" w:lineRule="auto"/>
        <w:ind w:left="5" w:right="2446" w:firstLine="0"/>
      </w:pPr>
      <w:r>
        <w:rPr>
          <w:i/>
        </w:rPr>
        <w:t xml:space="preserve"> </w:t>
      </w:r>
    </w:p>
    <w:p w14:paraId="75D3076D" w14:textId="77777777" w:rsidR="00EA3A4D" w:rsidRDefault="00000000">
      <w:pPr>
        <w:spacing w:after="146"/>
        <w:ind w:left="0"/>
      </w:pPr>
      <w:r>
        <w:rPr>
          <w:b/>
          <w:i/>
        </w:rPr>
        <w:t>Resolved</w:t>
      </w:r>
      <w:r>
        <w:rPr>
          <w:b/>
        </w:rPr>
        <w:t>,</w:t>
      </w:r>
      <w:r>
        <w:t xml:space="preserve"> that the American Library Association (ALA), on behalf of its members: </w:t>
      </w:r>
    </w:p>
    <w:p w14:paraId="3BD0CF6B" w14:textId="77777777" w:rsidR="00EA3A4D" w:rsidRDefault="00000000">
      <w:pPr>
        <w:numPr>
          <w:ilvl w:val="0"/>
          <w:numId w:val="1"/>
        </w:numPr>
        <w:ind w:hanging="360"/>
      </w:pPr>
      <w:r>
        <w:t xml:space="preserve">honors the life, leadership, and service of our colleague, Jennifer Ford </w:t>
      </w:r>
    </w:p>
    <w:p w14:paraId="54B20839" w14:textId="77777777" w:rsidR="00EA3A4D" w:rsidRDefault="00000000">
      <w:pPr>
        <w:spacing w:after="0" w:line="259" w:lineRule="auto"/>
        <w:ind w:left="0" w:right="58" w:firstLine="0"/>
        <w:jc w:val="right"/>
      </w:pPr>
      <w:r>
        <w:t xml:space="preserve">Paustenbaugh, with thanks for her outstanding contributions to librarianship; and </w:t>
      </w:r>
    </w:p>
    <w:p w14:paraId="4CF25011" w14:textId="77777777" w:rsidR="00EA3A4D" w:rsidRDefault="00000000">
      <w:pPr>
        <w:numPr>
          <w:ilvl w:val="0"/>
          <w:numId w:val="1"/>
        </w:numPr>
        <w:ind w:hanging="360"/>
      </w:pPr>
      <w:r>
        <w:t xml:space="preserve">extends its deepest sympathy to Jennifer’s husband, Richard Paustenbaugh, her children, Erik and Kristen, and other family and many friends. </w:t>
      </w:r>
    </w:p>
    <w:p w14:paraId="06F68275" w14:textId="77777777" w:rsidR="00EA3A4D" w:rsidRDefault="00000000">
      <w:pPr>
        <w:spacing w:after="0" w:line="259" w:lineRule="auto"/>
        <w:ind w:left="725" w:firstLine="0"/>
      </w:pPr>
      <w:r>
        <w:t xml:space="preserve"> </w:t>
      </w:r>
    </w:p>
    <w:p w14:paraId="39F773A8" w14:textId="77777777" w:rsidR="00EA3A4D" w:rsidRDefault="00000000">
      <w:pPr>
        <w:ind w:left="0"/>
      </w:pPr>
      <w:r>
        <w:t xml:space="preserve">Adopted by the Council of the American Library Association </w:t>
      </w:r>
    </w:p>
    <w:p w14:paraId="651CD3DD" w14:textId="77777777" w:rsidR="00EA3A4D" w:rsidRDefault="00000000">
      <w:pPr>
        <w:spacing w:after="172"/>
        <w:ind w:left="0"/>
      </w:pPr>
      <w:r>
        <w:t xml:space="preserve">Tuesday, January 28, 2020, in Philadelphia, PA </w:t>
      </w:r>
    </w:p>
    <w:p w14:paraId="1DF8AB57" w14:textId="77777777" w:rsidR="00EA3A4D" w:rsidRDefault="00000000">
      <w:pPr>
        <w:spacing w:after="0" w:line="259" w:lineRule="auto"/>
        <w:ind w:left="5" w:firstLine="0"/>
      </w:pPr>
      <w:r>
        <w:rPr>
          <w:noProof/>
        </w:rPr>
        <w:drawing>
          <wp:inline distT="0" distB="0" distL="0" distR="0" wp14:anchorId="3A2F7146" wp14:editId="491954E8">
            <wp:extent cx="1514856" cy="542544"/>
            <wp:effectExtent l="0" t="0" r="0" b="0"/>
            <wp:docPr id="116" name="Picture 116"/>
            <wp:cNvGraphicFramePr/>
            <a:graphic xmlns:a="http://schemas.openxmlformats.org/drawingml/2006/main">
              <a:graphicData uri="http://schemas.openxmlformats.org/drawingml/2006/picture">
                <pic:pic xmlns:pic="http://schemas.openxmlformats.org/drawingml/2006/picture">
                  <pic:nvPicPr>
                    <pic:cNvPr id="116" name="Picture 116"/>
                    <pic:cNvPicPr/>
                  </pic:nvPicPr>
                  <pic:blipFill>
                    <a:blip r:embed="rId6"/>
                    <a:stretch>
                      <a:fillRect/>
                    </a:stretch>
                  </pic:blipFill>
                  <pic:spPr>
                    <a:xfrm>
                      <a:off x="0" y="0"/>
                      <a:ext cx="1514856" cy="542544"/>
                    </a:xfrm>
                    <a:prstGeom prst="rect">
                      <a:avLst/>
                    </a:prstGeom>
                  </pic:spPr>
                </pic:pic>
              </a:graphicData>
            </a:graphic>
          </wp:inline>
        </w:drawing>
      </w:r>
      <w:r>
        <w:t xml:space="preserve">   </w:t>
      </w:r>
    </w:p>
    <w:p w14:paraId="67D1EB37" w14:textId="77777777" w:rsidR="00EA3A4D" w:rsidRDefault="00000000">
      <w:pPr>
        <w:spacing w:after="169"/>
        <w:ind w:left="0" w:right="4057"/>
      </w:pPr>
      <w:r>
        <w:t xml:space="preserve">Mary W. </w:t>
      </w:r>
      <w:proofErr w:type="spellStart"/>
      <w:r>
        <w:t>Ghikas</w:t>
      </w:r>
      <w:proofErr w:type="spellEnd"/>
      <w:r>
        <w:t xml:space="preserve">, Executive Director and Secretary of the ALA Council  </w:t>
      </w:r>
    </w:p>
    <w:p w14:paraId="7B39892C" w14:textId="77777777" w:rsidR="00EA3A4D" w:rsidRDefault="00000000">
      <w:pPr>
        <w:spacing w:after="158" w:line="259" w:lineRule="auto"/>
        <w:ind w:left="5" w:firstLine="0"/>
      </w:pPr>
      <w:r>
        <w:t xml:space="preserve"> </w:t>
      </w:r>
    </w:p>
    <w:p w14:paraId="69506846" w14:textId="77777777" w:rsidR="00EA3A4D" w:rsidRDefault="00000000">
      <w:pPr>
        <w:spacing w:after="158" w:line="259" w:lineRule="auto"/>
        <w:ind w:left="5" w:firstLine="0"/>
      </w:pPr>
      <w:r>
        <w:t xml:space="preserve"> </w:t>
      </w:r>
    </w:p>
    <w:p w14:paraId="4CBD390B" w14:textId="77777777" w:rsidR="00EA3A4D" w:rsidRDefault="00000000">
      <w:pPr>
        <w:spacing w:after="146" w:line="259" w:lineRule="auto"/>
        <w:ind w:left="5" w:firstLine="0"/>
      </w:pPr>
      <w:r>
        <w:t xml:space="preserve"> </w:t>
      </w:r>
    </w:p>
    <w:p w14:paraId="12423F41" w14:textId="77777777" w:rsidR="00EA3A4D" w:rsidRDefault="00000000">
      <w:pPr>
        <w:spacing w:after="160" w:line="259" w:lineRule="auto"/>
        <w:ind w:left="5" w:firstLine="0"/>
      </w:pPr>
      <w:r>
        <w:rPr>
          <w:rFonts w:ascii="Calibri" w:eastAsia="Calibri" w:hAnsi="Calibri" w:cs="Calibri"/>
        </w:rPr>
        <w:t xml:space="preserve"> </w:t>
      </w:r>
    </w:p>
    <w:p w14:paraId="12815571" w14:textId="77777777" w:rsidR="00EA3A4D" w:rsidRDefault="00000000">
      <w:pPr>
        <w:spacing w:after="158" w:line="259" w:lineRule="auto"/>
        <w:ind w:left="5" w:firstLine="0"/>
      </w:pPr>
      <w:r>
        <w:rPr>
          <w:rFonts w:ascii="Calibri" w:eastAsia="Calibri" w:hAnsi="Calibri" w:cs="Calibri"/>
        </w:rPr>
        <w:t xml:space="preserve"> </w:t>
      </w:r>
    </w:p>
    <w:p w14:paraId="06B785B4" w14:textId="77777777" w:rsidR="00EA3A4D" w:rsidRDefault="00000000">
      <w:pPr>
        <w:spacing w:after="0" w:line="259" w:lineRule="auto"/>
        <w:ind w:left="5" w:firstLine="0"/>
      </w:pPr>
      <w:r>
        <w:rPr>
          <w:rFonts w:ascii="Calibri" w:eastAsia="Calibri" w:hAnsi="Calibri" w:cs="Calibri"/>
        </w:rPr>
        <w:t xml:space="preserve"> </w:t>
      </w:r>
    </w:p>
    <w:sectPr w:rsidR="00EA3A4D">
      <w:pgSz w:w="12240" w:h="15840"/>
      <w:pgMar w:top="720" w:right="1473" w:bottom="1655" w:left="143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16D3D"/>
    <w:multiLevelType w:val="hybridMultilevel"/>
    <w:tmpl w:val="F988A11C"/>
    <w:lvl w:ilvl="0" w:tplc="4E72CECC">
      <w:start w:val="1"/>
      <w:numFmt w:val="decimal"/>
      <w:lvlText w:val="%1."/>
      <w:lvlJc w:val="left"/>
      <w:pPr>
        <w:ind w:left="725"/>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FDBCA8FE">
      <w:start w:val="1"/>
      <w:numFmt w:val="lowerLetter"/>
      <w:lvlText w:val="%2"/>
      <w:lvlJc w:val="left"/>
      <w:pPr>
        <w:ind w:left="1445"/>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C26ADBC2">
      <w:start w:val="1"/>
      <w:numFmt w:val="lowerRoman"/>
      <w:lvlText w:val="%3"/>
      <w:lvlJc w:val="left"/>
      <w:pPr>
        <w:ind w:left="2165"/>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38269216">
      <w:start w:val="1"/>
      <w:numFmt w:val="decimal"/>
      <w:lvlText w:val="%4"/>
      <w:lvlJc w:val="left"/>
      <w:pPr>
        <w:ind w:left="2885"/>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D7C2A9D8">
      <w:start w:val="1"/>
      <w:numFmt w:val="lowerLetter"/>
      <w:lvlText w:val="%5"/>
      <w:lvlJc w:val="left"/>
      <w:pPr>
        <w:ind w:left="3605"/>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513830D6">
      <w:start w:val="1"/>
      <w:numFmt w:val="lowerRoman"/>
      <w:lvlText w:val="%6"/>
      <w:lvlJc w:val="left"/>
      <w:pPr>
        <w:ind w:left="4325"/>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F0A0DDD4">
      <w:start w:val="1"/>
      <w:numFmt w:val="decimal"/>
      <w:lvlText w:val="%7"/>
      <w:lvlJc w:val="left"/>
      <w:pPr>
        <w:ind w:left="5045"/>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91169CC4">
      <w:start w:val="1"/>
      <w:numFmt w:val="lowerLetter"/>
      <w:lvlText w:val="%8"/>
      <w:lvlJc w:val="left"/>
      <w:pPr>
        <w:ind w:left="5765"/>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98C42376">
      <w:start w:val="1"/>
      <w:numFmt w:val="lowerRoman"/>
      <w:lvlText w:val="%9"/>
      <w:lvlJc w:val="left"/>
      <w:pPr>
        <w:ind w:left="6485"/>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num w:numId="1" w16cid:durableId="1790856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A4D"/>
    <w:rsid w:val="00732A9F"/>
    <w:rsid w:val="00AC7C21"/>
    <w:rsid w:val="00EA3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A7762"/>
  <w15:docId w15:val="{C8642634-A7D7-4E77-B823-7A6AABB61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5" w:hanging="10"/>
    </w:pPr>
    <w:rPr>
      <w:rFonts w:ascii="Century Gothic" w:eastAsia="Century Gothic" w:hAnsi="Century Gothic" w:cs="Century Gothic"/>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418</Words>
  <Characters>2389</Characters>
  <Application>Microsoft Office Word</Application>
  <DocSecurity>0</DocSecurity>
  <Lines>19</Lines>
  <Paragraphs>5</Paragraphs>
  <ScaleCrop>false</ScaleCrop>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Memorial Resolution Honoring Jennifer Ford Paustenbaugh</dc:title>
  <dc:subject/>
  <dc:creator>mburgess</dc:creator>
  <cp:keywords/>
  <cp:lastModifiedBy>Spencer, David Brett</cp:lastModifiedBy>
  <cp:revision>2</cp:revision>
  <dcterms:created xsi:type="dcterms:W3CDTF">2025-12-08T17:03:00Z</dcterms:created>
  <dcterms:modified xsi:type="dcterms:W3CDTF">2025-12-08T17:03:00Z</dcterms:modified>
</cp:coreProperties>
</file>