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D4CFC" w:rsidRDefault="00CD4CFC">
      <w:pPr>
        <w:shd w:val="clear" w:color="auto" w:fill="FFFFFF"/>
        <w:spacing w:line="480" w:lineRule="auto"/>
        <w:jc w:val="center"/>
        <w:rPr>
          <w:rFonts w:ascii="Times New Roman" w:eastAsia="Times New Roman" w:hAnsi="Times New Roman" w:cs="Times New Roman"/>
          <w:sz w:val="24"/>
          <w:szCs w:val="24"/>
        </w:rPr>
      </w:pPr>
    </w:p>
    <w:p w14:paraId="00000002" w14:textId="77777777" w:rsidR="00CD4CFC" w:rsidRDefault="00CD4CFC">
      <w:pPr>
        <w:shd w:val="clear" w:color="auto" w:fill="FFFFFF"/>
        <w:spacing w:line="480" w:lineRule="auto"/>
        <w:jc w:val="center"/>
        <w:rPr>
          <w:rFonts w:ascii="Times New Roman" w:eastAsia="Times New Roman" w:hAnsi="Times New Roman" w:cs="Times New Roman"/>
          <w:sz w:val="24"/>
          <w:szCs w:val="24"/>
        </w:rPr>
      </w:pPr>
    </w:p>
    <w:p w14:paraId="00000003" w14:textId="77777777" w:rsidR="00CD4CFC" w:rsidRDefault="00CD4CFC">
      <w:pPr>
        <w:shd w:val="clear" w:color="auto" w:fill="FFFFFF"/>
        <w:spacing w:line="480" w:lineRule="auto"/>
        <w:jc w:val="center"/>
        <w:rPr>
          <w:rFonts w:ascii="Times New Roman" w:eastAsia="Times New Roman" w:hAnsi="Times New Roman" w:cs="Times New Roman"/>
          <w:sz w:val="24"/>
          <w:szCs w:val="24"/>
        </w:rPr>
      </w:pPr>
    </w:p>
    <w:p w14:paraId="00000004" w14:textId="77777777" w:rsidR="00CD4CFC" w:rsidRDefault="00CD4CFC">
      <w:pPr>
        <w:shd w:val="clear" w:color="auto" w:fill="FFFFFF"/>
        <w:spacing w:line="480" w:lineRule="auto"/>
        <w:jc w:val="center"/>
        <w:rPr>
          <w:rFonts w:ascii="Times New Roman" w:eastAsia="Times New Roman" w:hAnsi="Times New Roman" w:cs="Times New Roman"/>
          <w:sz w:val="24"/>
          <w:szCs w:val="24"/>
        </w:rPr>
      </w:pPr>
    </w:p>
    <w:p w14:paraId="0AD60222" w14:textId="77777777" w:rsidR="009868FF" w:rsidRDefault="009868FF">
      <w:pPr>
        <w:shd w:val="clear" w:color="auto" w:fill="FFFFFF"/>
        <w:spacing w:line="480" w:lineRule="auto"/>
        <w:jc w:val="center"/>
        <w:rPr>
          <w:rFonts w:ascii="Times New Roman" w:eastAsia="Times New Roman" w:hAnsi="Times New Roman" w:cs="Times New Roman"/>
          <w:b/>
          <w:sz w:val="24"/>
          <w:szCs w:val="24"/>
        </w:rPr>
      </w:pPr>
    </w:p>
    <w:p w14:paraId="1754C483" w14:textId="77777777" w:rsidR="009868FF" w:rsidRDefault="009868FF">
      <w:pPr>
        <w:shd w:val="clear" w:color="auto" w:fill="FFFFFF"/>
        <w:spacing w:line="480" w:lineRule="auto"/>
        <w:jc w:val="center"/>
        <w:rPr>
          <w:rFonts w:ascii="Times New Roman" w:eastAsia="Times New Roman" w:hAnsi="Times New Roman" w:cs="Times New Roman"/>
          <w:b/>
          <w:sz w:val="24"/>
          <w:szCs w:val="24"/>
        </w:rPr>
      </w:pPr>
    </w:p>
    <w:p w14:paraId="691AAFE4" w14:textId="77777777" w:rsidR="009868FF" w:rsidRDefault="009868FF">
      <w:pPr>
        <w:shd w:val="clear" w:color="auto" w:fill="FFFFFF"/>
        <w:spacing w:line="480" w:lineRule="auto"/>
        <w:jc w:val="center"/>
        <w:rPr>
          <w:rFonts w:ascii="Times New Roman" w:eastAsia="Times New Roman" w:hAnsi="Times New Roman" w:cs="Times New Roman"/>
          <w:b/>
          <w:sz w:val="24"/>
          <w:szCs w:val="24"/>
        </w:rPr>
      </w:pPr>
    </w:p>
    <w:p w14:paraId="00000005" w14:textId="2A03A697" w:rsidR="00CD4CFC" w:rsidRDefault="00000000">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 and Legacy: Libraries as a Tool of Colonialism</w:t>
      </w:r>
    </w:p>
    <w:p w14:paraId="00000006" w14:textId="77777777" w:rsidR="00CD4CFC" w:rsidRDefault="00CD4CFC">
      <w:pPr>
        <w:shd w:val="clear" w:color="auto" w:fill="FFFFFF"/>
        <w:spacing w:line="480" w:lineRule="auto"/>
        <w:jc w:val="center"/>
        <w:rPr>
          <w:rFonts w:ascii="Times New Roman" w:eastAsia="Times New Roman" w:hAnsi="Times New Roman" w:cs="Times New Roman"/>
          <w:b/>
          <w:sz w:val="24"/>
          <w:szCs w:val="24"/>
        </w:rPr>
      </w:pPr>
    </w:p>
    <w:p w14:paraId="00000007" w14:textId="77777777" w:rsidR="00CD4CFC" w:rsidRDefault="00000000">
      <w:pPr>
        <w:shd w:val="clear" w:color="auto" w:fill="FFFFFF"/>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Grace Knutsen</w:t>
      </w:r>
    </w:p>
    <w:p w14:paraId="00000008" w14:textId="77777777" w:rsidR="00CD4CFC" w:rsidRDefault="00000000">
      <w:pPr>
        <w:shd w:val="clear" w:color="auto" w:fill="FFFFFF"/>
        <w:spacing w:before="240" w:after="240"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Luddy</w:t>
      </w:r>
      <w:proofErr w:type="spellEnd"/>
      <w:r>
        <w:rPr>
          <w:rFonts w:ascii="Times New Roman" w:eastAsia="Times New Roman" w:hAnsi="Times New Roman" w:cs="Times New Roman"/>
          <w:sz w:val="24"/>
          <w:szCs w:val="24"/>
        </w:rPr>
        <w:t xml:space="preserve"> School of Informatics, Computing, and Engineering, Indiana University Indianapolis</w:t>
      </w:r>
    </w:p>
    <w:p w14:paraId="00000009" w14:textId="77777777" w:rsidR="00CD4CFC" w:rsidRDefault="00000000">
      <w:pPr>
        <w:shd w:val="clear" w:color="auto" w:fill="FFFFFF"/>
        <w:spacing w:before="240" w:after="240" w:line="480" w:lineRule="auto"/>
        <w:jc w:val="center"/>
        <w:rPr>
          <w:rFonts w:ascii="Times New Roman" w:eastAsia="Times New Roman" w:hAnsi="Times New Roman" w:cs="Times New Roman"/>
          <w:sz w:val="24"/>
          <w:szCs w:val="24"/>
        </w:rPr>
      </w:pPr>
      <w:r>
        <w:br w:type="page"/>
      </w:r>
    </w:p>
    <w:p w14:paraId="0000000A" w14:textId="77777777" w:rsidR="00CD4CFC" w:rsidRDefault="00000000">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0000000B" w14:textId="77777777" w:rsidR="00CD4CFC"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Beginning in early library culture, libraries have been used as a tool to enact colonialism, with examples globally, including Africa, South America, North America, and Australia. Oftentimes, libraries were an attempt at instilling an empire’s cultural ideology within a colonial society. Specific goals were often considered by colonizers, including evangelism and capitalism. Today, many libraries hold vestiges of these institutionalized ideologies. However, Indigenous library professionals are leading the charge to decolonize these institutions.</w:t>
      </w:r>
    </w:p>
    <w:p w14:paraId="0000000C"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Keywords: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libraries, library collections, imperialism, colonialism, decolonization</w:t>
      </w:r>
      <w:r>
        <w:br w:type="page"/>
      </w:r>
    </w:p>
    <w:p w14:paraId="0000000D" w14:textId="77777777" w:rsidR="00CD4CFC" w:rsidRDefault="00000000">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Implementation and Legacy: Libraries as a Tool of Colonialism</w:t>
      </w:r>
    </w:p>
    <w:p w14:paraId="0000000E"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Known as “</w:t>
      </w:r>
      <w:proofErr w:type="spellStart"/>
      <w:r>
        <w:rPr>
          <w:rFonts w:ascii="Times New Roman" w:eastAsia="Times New Roman" w:hAnsi="Times New Roman" w:cs="Times New Roman"/>
          <w:sz w:val="24"/>
          <w:szCs w:val="24"/>
        </w:rPr>
        <w:t>libricide</w:t>
      </w:r>
      <w:proofErr w:type="spellEnd"/>
      <w:r>
        <w:rPr>
          <w:rFonts w:ascii="Times New Roman" w:eastAsia="Times New Roman" w:hAnsi="Times New Roman" w:cs="Times New Roman"/>
          <w:sz w:val="24"/>
          <w:szCs w:val="24"/>
        </w:rPr>
        <w:t xml:space="preserve">”, book burnings and library destruction are a famous result of colonialism. With many famous examples, these attempts to destroy knowledge and cultural heritage are often associated with cases of imperialism and genocide. Knuth popularized this concept in her books </w:t>
      </w:r>
      <w:proofErr w:type="spellStart"/>
      <w:r>
        <w:rPr>
          <w:rFonts w:ascii="Times New Roman" w:eastAsia="Times New Roman" w:hAnsi="Times New Roman" w:cs="Times New Roman"/>
          <w:i/>
          <w:sz w:val="24"/>
          <w:szCs w:val="24"/>
        </w:rPr>
        <w:t>Libricide</w:t>
      </w:r>
      <w:proofErr w:type="spellEnd"/>
      <w:r>
        <w:rPr>
          <w:rFonts w:ascii="Times New Roman" w:eastAsia="Times New Roman" w:hAnsi="Times New Roman" w:cs="Times New Roman"/>
          <w:i/>
          <w:sz w:val="24"/>
          <w:szCs w:val="24"/>
        </w:rPr>
        <w:t xml:space="preserve">: The Regime-Sponsored Destruction of Books and Libraries in the Twentieth Century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 xml:space="preserve">Burning Books and Leveling Libraries: Extremist Violence and Cultural Destruction. </w:t>
      </w:r>
      <w:proofErr w:type="spellStart"/>
      <w:r>
        <w:rPr>
          <w:rFonts w:ascii="Times New Roman" w:eastAsia="Times New Roman" w:hAnsi="Times New Roman" w:cs="Times New Roman"/>
          <w:sz w:val="24"/>
          <w:szCs w:val="24"/>
        </w:rPr>
        <w:t>Libricide</w:t>
      </w:r>
      <w:proofErr w:type="spellEnd"/>
      <w:r>
        <w:rPr>
          <w:rFonts w:ascii="Times New Roman" w:eastAsia="Times New Roman" w:hAnsi="Times New Roman" w:cs="Times New Roman"/>
          <w:sz w:val="24"/>
          <w:szCs w:val="24"/>
        </w:rPr>
        <w:t xml:space="preserve"> is often the way by which the relationship between colonial violence and libraries is depicted, but is not the only way this relationship has manifested. In some cases, empires have built libraries in their colonies. Rather than an innocuous endeavor or a gesture of goodwill, the implementation of these libraries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a coordinated attempt at instilling the colonizer’s ideology in colonial society. Throughout history, libraries have been used as a tool of colonialism in order to instill Western values, build a literate working class to support capitalism, and often, to evangelize non-white colonists. Evidence of this intended purpose still exists in libraries today, but many librarians and academics are working to decolonize these institutions.</w:t>
      </w:r>
    </w:p>
    <w:p w14:paraId="0000000F"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Libricide</w:t>
      </w:r>
      <w:proofErr w:type="spellEnd"/>
      <w:r>
        <w:rPr>
          <w:rFonts w:ascii="Times New Roman" w:eastAsia="Times New Roman" w:hAnsi="Times New Roman" w:cs="Times New Roman"/>
          <w:sz w:val="24"/>
          <w:szCs w:val="24"/>
        </w:rPr>
        <w:t xml:space="preserve"> and the destruction of books is the predominant focus in existing literature regarding colonial violence in libraries. Knuth’s books describe the authoritarian, state-sponsored destruction of books in the twentieth century and their relationship with genocide. Using examples from the last several centuries, Knuth posits that book burnings and </w:t>
      </w:r>
      <w:proofErr w:type="spellStart"/>
      <w:r>
        <w:rPr>
          <w:rFonts w:ascii="Times New Roman" w:eastAsia="Times New Roman" w:hAnsi="Times New Roman" w:cs="Times New Roman"/>
          <w:sz w:val="24"/>
          <w:szCs w:val="24"/>
        </w:rPr>
        <w:t>libricide</w:t>
      </w:r>
      <w:proofErr w:type="spellEnd"/>
      <w:r>
        <w:rPr>
          <w:rFonts w:ascii="Times New Roman" w:eastAsia="Times New Roman" w:hAnsi="Times New Roman" w:cs="Times New Roman"/>
          <w:sz w:val="24"/>
          <w:szCs w:val="24"/>
        </w:rPr>
        <w:t xml:space="preserve"> form a sort of countercultural identity, with the intention of destroying cultural heritage or ideologically different material from the group destroying it. The motivation for this destruction is a struggle over beliefs or resources. </w:t>
      </w:r>
    </w:p>
    <w:p w14:paraId="00000010"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somewhat separate, these works about </w:t>
      </w:r>
      <w:proofErr w:type="spellStart"/>
      <w:r>
        <w:rPr>
          <w:rFonts w:ascii="Times New Roman" w:eastAsia="Times New Roman" w:hAnsi="Times New Roman" w:cs="Times New Roman"/>
          <w:sz w:val="24"/>
          <w:szCs w:val="24"/>
        </w:rPr>
        <w:t>libricide</w:t>
      </w:r>
      <w:proofErr w:type="spellEnd"/>
      <w:r>
        <w:rPr>
          <w:rFonts w:ascii="Times New Roman" w:eastAsia="Times New Roman" w:hAnsi="Times New Roman" w:cs="Times New Roman"/>
          <w:sz w:val="24"/>
          <w:szCs w:val="24"/>
        </w:rPr>
        <w:t xml:space="preserve"> inform studies of libraries as a tool of colonialism. Knuth’s works, for example, establish the argument that control of books and libraries is entirely political. Knuth is one of many authors that explores the reasons that a group might fight for this control. Ovenden, author of </w:t>
      </w:r>
      <w:r>
        <w:rPr>
          <w:rFonts w:ascii="Times New Roman" w:eastAsia="Times New Roman" w:hAnsi="Times New Roman" w:cs="Times New Roman"/>
          <w:i/>
          <w:sz w:val="24"/>
          <w:szCs w:val="24"/>
        </w:rPr>
        <w:t xml:space="preserve">Burning the Books: A History of the Deliberate Destruction of Knowledge, </w:t>
      </w:r>
      <w:r>
        <w:rPr>
          <w:rFonts w:ascii="Times New Roman" w:eastAsia="Times New Roman" w:hAnsi="Times New Roman" w:cs="Times New Roman"/>
          <w:sz w:val="24"/>
          <w:szCs w:val="24"/>
        </w:rPr>
        <w:t xml:space="preserve">discusses some of the ideological conflicts that have impacted societies through history, many of them being political, religious, and/or sociocultural. The impact of these conflicts on libraries and book collections should not be underestimated. When a state chooses to occupy another, enforce its own political and ideological policies, and exploit the colonized state’s resources, libraries are used to achieve these goals by institutionalizing the colonizer’s ideologies. By doing so, the library helps to mold colonists according to the colonizer’s ideals. </w:t>
      </w:r>
    </w:p>
    <w:p w14:paraId="00000011" w14:textId="77777777" w:rsidR="00CD4CFC" w:rsidRDefault="00000000">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 Nineteenth Century</w:t>
      </w:r>
    </w:p>
    <w:p w14:paraId="00000012"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Libraries have been used as an extension of colonialism for centuries. Early examples include the use of libraries in religious missions, especially in the Americas. Spanish missionaries arrived in the Philippines in the sixteenth century and with them, brought books (Hernández, 1996). Spain’s colonial mission in the islands emphasized Christian literature. Therefore, early post-colonization literary culture in the Philippines was religious in nature. Spanish secular literature did arrive in the Philippines, but not until several centuries later. Due to their colonial relationship, Hernández (1996) indicates that library trends in the Philippines reflected Spanish library traditions until the nineteenth century.</w:t>
      </w:r>
    </w:p>
    <w:p w14:paraId="00000013"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Spain’s intentional use of libraries as a tool of colonialism is evidenced by primary sources, including eyewitness accounts from an array of sources, from Spanish missionaries to twentieth-century scholars; historic letters; library records; missionary records; and more </w:t>
      </w:r>
      <w:r>
        <w:rPr>
          <w:rFonts w:ascii="Times New Roman" w:eastAsia="Times New Roman" w:hAnsi="Times New Roman" w:cs="Times New Roman"/>
          <w:sz w:val="24"/>
          <w:szCs w:val="24"/>
        </w:rPr>
        <w:lastRenderedPageBreak/>
        <w:t>(Hernández, 2001). Hernández (2001) first describes literary tradition in the Philippines before European invasion. Writing was regional and primarily practiced by women for correspondence and note-taking. While Spain did have economic motives during the Spanish colonial period by seeking to establish a trading port in the Philippines, regular Spanish interaction with Filipinos was primarily an effort to convert Filipinos to the Catholic faith. The Spanish crown decreed that religious literature was all that should accompany Catholic missionaries to the islands, according to Hernández (2001).</w:t>
      </w:r>
    </w:p>
    <w:p w14:paraId="00000014"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eighteenth century, Philippine library culture was impacted by the European Age of Enlightenment. This period informed the modern Philippine library, as secular literature related to science, agriculture, and industry arrived in the Philippines during this time (Hernández, 2001). Inspired by these topics and the ongoing Enlightenment, the Sociedad </w:t>
      </w:r>
      <w:proofErr w:type="spellStart"/>
      <w:r>
        <w:rPr>
          <w:rFonts w:ascii="Times New Roman" w:eastAsia="Times New Roman" w:hAnsi="Times New Roman" w:cs="Times New Roman"/>
          <w:sz w:val="24"/>
          <w:szCs w:val="24"/>
        </w:rPr>
        <w:t>Económica</w:t>
      </w:r>
      <w:proofErr w:type="spellEnd"/>
      <w:r>
        <w:rPr>
          <w:rFonts w:ascii="Times New Roman" w:eastAsia="Times New Roman" w:hAnsi="Times New Roman" w:cs="Times New Roman"/>
          <w:sz w:val="24"/>
          <w:szCs w:val="24"/>
        </w:rPr>
        <w:t xml:space="preserve"> was established in 1781, and this institution distributed free books, popularizing public reading (Hernández, 2001).</w:t>
      </w:r>
    </w:p>
    <w:p w14:paraId="00000015"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turn of the twentieth century, the Spanish-American War brought about a new channel to impact Philippine library and literary culture. In a new form of colonial influence, the United States provided aid by developing a modern public education system. This led to the development of the school library system. This emphasis on public education represented the American ideology of equal opportunity. This lasted in spite of the devastation of World War II on the Philippines. Among the damage was the almost total destruction of libraries and scholarly resources, but it made way for modernization alongside the rebuilding of Filipino library culture, including the professionalization of librarianship and automation of library services (Hernández, 2001).</w:t>
      </w:r>
    </w:p>
    <w:p w14:paraId="00000016" w14:textId="77777777" w:rsidR="00CD4CFC" w:rsidRDefault="00000000">
      <w:pPr>
        <w:spacing w:line="480" w:lineRule="auto"/>
        <w:ind w:firstLine="720"/>
        <w:rPr>
          <w:rFonts w:ascii="Times New Roman" w:eastAsia="Times New Roman" w:hAnsi="Times New Roman" w:cs="Times New Roman"/>
          <w:sz w:val="24"/>
          <w:szCs w:val="24"/>
          <w:shd w:val="clear" w:color="auto" w:fill="FFE599"/>
        </w:rPr>
      </w:pPr>
      <w:r>
        <w:rPr>
          <w:rFonts w:ascii="Times New Roman" w:eastAsia="Times New Roman" w:hAnsi="Times New Roman" w:cs="Times New Roman"/>
          <w:sz w:val="24"/>
          <w:szCs w:val="24"/>
        </w:rPr>
        <w:lastRenderedPageBreak/>
        <w:t>The use of libraries to support Catholic missions in the Philippines was mirrored by Jesuit Catholics in Brazil. Grover (1993) writes that Jesuits included education in their Catholic missionary work in Latin America, and they founded libraries as an extension of the academic institutions they constructed. These libraries were an aspect of the colonial religious mission and were intended to recreate the Christian European society in Latin America. Jesuits established traditions of European librarianship before their expulsion in the eighteenth century, but Grover (1993) indicates that nonetheless, these institutions included the private religious collections that were the origins of Brazil’s public libraries.</w:t>
      </w:r>
    </w:p>
    <w:p w14:paraId="00000017" w14:textId="77777777" w:rsidR="00CD4CFC" w:rsidRDefault="00000000">
      <w:pPr>
        <w:shd w:val="clear" w:color="auto" w:fill="FFFFFF"/>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While </w:t>
      </w:r>
      <w:r>
        <w:rPr>
          <w:rFonts w:ascii="Times New Roman" w:eastAsia="Times New Roman" w:hAnsi="Times New Roman" w:cs="Times New Roman"/>
          <w:sz w:val="24"/>
          <w:szCs w:val="24"/>
          <w:highlight w:val="white"/>
        </w:rPr>
        <w:t xml:space="preserve">literary culture development in colonial Spanish America was dominated by colonial missions, academic organizations were allowed to collect books beyond religious texts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but only after “Counter-Reformation religious and ideological patterns had been firmly established” (</w:t>
      </w:r>
      <w:proofErr w:type="spellStart"/>
      <w:r>
        <w:rPr>
          <w:rFonts w:ascii="Times New Roman" w:eastAsia="Times New Roman" w:hAnsi="Times New Roman" w:cs="Times New Roman"/>
          <w:sz w:val="24"/>
          <w:szCs w:val="24"/>
          <w:highlight w:val="white"/>
        </w:rPr>
        <w:t>Hampe</w:t>
      </w:r>
      <w:proofErr w:type="spellEnd"/>
      <w:r>
        <w:rPr>
          <w:rFonts w:ascii="Times New Roman" w:eastAsia="Times New Roman" w:hAnsi="Times New Roman" w:cs="Times New Roman"/>
          <w:sz w:val="24"/>
          <w:szCs w:val="24"/>
          <w:highlight w:val="white"/>
        </w:rPr>
        <w:t xml:space="preserve">-Martínez, 1993, p. 214). </w:t>
      </w:r>
    </w:p>
    <w:p w14:paraId="00000018" w14:textId="77777777" w:rsidR="00CD4CFC" w:rsidRDefault="00000000">
      <w:pPr>
        <w:shd w:val="clear" w:color="auto" w:fill="FFFFFF"/>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The Nineteenth Century</w:t>
      </w:r>
    </w:p>
    <w:p w14:paraId="00000019" w14:textId="77777777" w:rsidR="00CD4CFC" w:rsidRDefault="00000000">
      <w:pPr>
        <w:shd w:val="clear" w:color="auto" w:fill="FFFFFF"/>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Moving into the nineteenth century, libraries continued to be used as a tool of colonialism, but were adapted to meet the needs of the empires who used them. Prior to this century, many colonial missions were religious in nature. With the dawn of the industrial revolution in the long nineteenth century, empires would seek to develop a working class within their colonies. Libraries, then, were intended to shape this new workforce.</w:t>
      </w:r>
    </w:p>
    <w:p w14:paraId="0000001A"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(2011) describes the implementation of libraries in British Columbia as a tool of colonialism during the late nineteenth century, writing that after the discovery of gold in 1858, this territory saw an influx of non-native settlers. As a result, Great Britain sought to increase and support the non-native population in British Columbia, not only by supporting the permanent European settlement of the territory, but also by creating a culture that Britain believed would </w:t>
      </w:r>
      <w:r>
        <w:rPr>
          <w:rFonts w:ascii="Times New Roman" w:eastAsia="Times New Roman" w:hAnsi="Times New Roman" w:cs="Times New Roman"/>
          <w:sz w:val="24"/>
          <w:szCs w:val="24"/>
        </w:rPr>
        <w:lastRenderedPageBreak/>
        <w:t>support the long-term welfare of non-native colonists. Libraries were one crucial aspect of building and maintaining what Great Britain would consider a prosperous colonial society. Dean (2011) demonstrates that the non-native settlers populating British Columbia, especially gold miners, had their own literary tradition. Miners may have used guidebooks or maps and these libraries sought to serve these existing needs while also further shaping the working class. British Columbian leadership thought that the establishment of libraries would help to transform “rough” pioneers into “civilized” middle-class colonists through exposure to European literary culture and by deterring unmarried male pioneers from vulgar recreational activities. The developing literary culture in colonial British Columbia was also intended to encourage the economic development of the region by initially charging small fees for using libraries, although free public libraries would develop later (Dean, 2011).</w:t>
      </w:r>
    </w:p>
    <w:p w14:paraId="0000001B"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should not underestimate the role of the library user in this relationship, though. In many cases, libraries faced the demands of colonial reading and reference demands while at the same time seeking to implement the British colonial agenda. In a comparative study of early colonial public libraries in the nineteenth-century British colonies, including Australia, South Africa, and Southeast Asia, </w:t>
      </w:r>
      <w:r>
        <w:rPr>
          <w:rFonts w:ascii="Times New Roman" w:eastAsia="Times New Roman" w:hAnsi="Times New Roman" w:cs="Times New Roman"/>
          <w:i/>
          <w:sz w:val="24"/>
          <w:szCs w:val="24"/>
        </w:rPr>
        <w:t>Early Public Libraries and Colonial Citizenship in the British Southern Hemisphere</w:t>
      </w:r>
      <w:r>
        <w:rPr>
          <w:rFonts w:ascii="Times New Roman" w:eastAsia="Times New Roman" w:hAnsi="Times New Roman" w:cs="Times New Roman"/>
          <w:sz w:val="24"/>
          <w:szCs w:val="24"/>
        </w:rPr>
        <w:t xml:space="preserve"> analyzes how six public libraries in these regions have contributed to the dismantlement of Indigenous culture while at the same time constructing colonial identity, citizenship, and even colonial self-governance. Atkin et al. (2019) suggest that public libraries promoted British ideology and intended to “Westernize” colonists through its collection policies, however, non-white colonists were not passive readers and engaged with these library collections in culturally unique ways, reflecting their own cultural ideals. For example, in 1869, when these institutions were not yet circulating, one library user argued that “...A truly public library would </w:t>
      </w:r>
      <w:r>
        <w:rPr>
          <w:rFonts w:ascii="Times New Roman" w:eastAsia="Times New Roman" w:hAnsi="Times New Roman" w:cs="Times New Roman"/>
          <w:sz w:val="24"/>
          <w:szCs w:val="24"/>
        </w:rPr>
        <w:lastRenderedPageBreak/>
        <w:t xml:space="preserve">be freely circulating so as to cater for the needs of the ‘mass of the population’, who ‘have to read by snatches of time; many at hours when a public library could not be open’” (Atkin et al., 2019, p. 47). This nineteenth-century user advocated for public access to education in a time when colonialism catered to the elite, and the middle class pressured the working class </w:t>
      </w:r>
      <w:proofErr w:type="gramStart"/>
      <w:r>
        <w:rPr>
          <w:rFonts w:ascii="Times New Roman" w:eastAsia="Times New Roman" w:hAnsi="Times New Roman" w:cs="Times New Roman"/>
          <w:sz w:val="24"/>
          <w:szCs w:val="24"/>
        </w:rPr>
        <w:t>to  conform</w:t>
      </w:r>
      <w:proofErr w:type="gramEnd"/>
      <w:r>
        <w:rPr>
          <w:rFonts w:ascii="Times New Roman" w:eastAsia="Times New Roman" w:hAnsi="Times New Roman" w:cs="Times New Roman"/>
          <w:sz w:val="24"/>
          <w:szCs w:val="24"/>
        </w:rPr>
        <w:t xml:space="preserve"> socially through the use of libraries.</w:t>
      </w:r>
    </w:p>
    <w:p w14:paraId="0000001C" w14:textId="77777777" w:rsidR="00CD4CFC" w:rsidRDefault="00000000">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Twentieth Century</w:t>
      </w:r>
    </w:p>
    <w:p w14:paraId="0000001D" w14:textId="77777777" w:rsidR="00CD4CFC"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library cultural patterns that developed in earlier centuries continued into the twentieth century. Still, libraries were intertwined with social pressures, particularly class conformity. This conflict was related to preexisting religious and political colonial missions. </w:t>
      </w:r>
      <w:proofErr w:type="spellStart"/>
      <w:r>
        <w:rPr>
          <w:rFonts w:ascii="Times New Roman" w:eastAsia="Times New Roman" w:hAnsi="Times New Roman" w:cs="Times New Roman"/>
          <w:sz w:val="24"/>
          <w:szCs w:val="24"/>
        </w:rPr>
        <w:t>Cobley</w:t>
      </w:r>
      <w:proofErr w:type="spellEnd"/>
      <w:r>
        <w:rPr>
          <w:rFonts w:ascii="Times New Roman" w:eastAsia="Times New Roman" w:hAnsi="Times New Roman" w:cs="Times New Roman"/>
          <w:sz w:val="24"/>
          <w:szCs w:val="24"/>
        </w:rPr>
        <w:t xml:space="preserve"> (1997) describes the growing South African upper class in the early twentieth century and its relationship with literacy and libraries. This period followed the Anglo-Boer War, wherein the South African Republic and the Orange Free State fought for Afrikaner independence but were defeated by the British. The result was the formation of the capitalist Union of South Africa. This war exemplified the long fight against British imperialism in Africa, which incorporated racial and class conflict. As a result of colonialism, a new Christian, educated, and westernized African elite emerged in the early twentieth century. Literacy was intertwined with the racial and class conflicts during this time. Literacy and access to library services was a tool to shape this new elite, but also a weapon to limit working-class African nationalists’ access to knowledge. While this access was won, it would be informed by imperialism and would be a part of the greater ideological framework of apartheid (</w:t>
      </w:r>
      <w:proofErr w:type="spellStart"/>
      <w:r>
        <w:rPr>
          <w:rFonts w:ascii="Times New Roman" w:eastAsia="Times New Roman" w:hAnsi="Times New Roman" w:cs="Times New Roman"/>
          <w:sz w:val="24"/>
          <w:szCs w:val="24"/>
        </w:rPr>
        <w:t>Cobley</w:t>
      </w:r>
      <w:proofErr w:type="spellEnd"/>
      <w:r>
        <w:rPr>
          <w:rFonts w:ascii="Times New Roman" w:eastAsia="Times New Roman" w:hAnsi="Times New Roman" w:cs="Times New Roman"/>
          <w:sz w:val="24"/>
          <w:szCs w:val="24"/>
        </w:rPr>
        <w:t>, 1997).</w:t>
      </w:r>
    </w:p>
    <w:p w14:paraId="0000001E" w14:textId="77777777" w:rsidR="00CD4CFC"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Similarly, Fitzpatrick (2008) discusses the Netherlands’ implementation of public libraries to assert Western values in the Netherlands East Indies colony. During the early </w:t>
      </w:r>
      <w:r>
        <w:rPr>
          <w:rFonts w:ascii="Times New Roman" w:eastAsia="Times New Roman" w:hAnsi="Times New Roman" w:cs="Times New Roman"/>
          <w:sz w:val="24"/>
          <w:szCs w:val="24"/>
        </w:rPr>
        <w:lastRenderedPageBreak/>
        <w:t xml:space="preserve">twentieth century, 2,500 public libraries were established in what is modern-day Indonesia. While on the surface, supporting literary culture in the colony might be seen as positive, this implementation was in fact intended to create a literate, “Westernized” workforce to improve the colony’s profitability. Fitzpatrick further adds that the library collections themselves served to undermine the Indonesian nationalist movement, even to the point of including historical misinformation in its collections (Fitzpatrick, 2008). </w:t>
      </w:r>
    </w:p>
    <w:p w14:paraId="0000001F"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empires sought to undermine each other and establish dominance within colonial contexts. </w:t>
      </w:r>
      <w:proofErr w:type="spellStart"/>
      <w:r>
        <w:rPr>
          <w:rFonts w:ascii="Times New Roman" w:eastAsia="Times New Roman" w:hAnsi="Times New Roman" w:cs="Times New Roman"/>
          <w:sz w:val="24"/>
          <w:szCs w:val="24"/>
        </w:rPr>
        <w:t>Maack</w:t>
      </w:r>
      <w:proofErr w:type="spellEnd"/>
      <w:r>
        <w:rPr>
          <w:rFonts w:ascii="Times New Roman" w:eastAsia="Times New Roman" w:hAnsi="Times New Roman" w:cs="Times New Roman"/>
          <w:sz w:val="24"/>
          <w:szCs w:val="24"/>
        </w:rPr>
        <w:t xml:space="preserve"> (2001) discusses the efforts of Britain, France, and the United States to enact “cultural diplomacy” and extend political influence via literary culture in Francophone Africa during the Cold War in the article “Books and Libraries as Instruments of Cultural Diplomacy in Francophone Africa during the Cold War”. These efforts included language instruction, cultural centers, and libraries, all intended to influence the African elite during this period of political and ideological unrest. France, with a long history in Africa, supported private and public French language institutions in Africa. The Alliance Française, a private institution established in the nineteenth century, promoted “love of beautiful language”, “respect for civilization”, and “cult of international friendship” (</w:t>
      </w:r>
      <w:proofErr w:type="spellStart"/>
      <w:r>
        <w:rPr>
          <w:rFonts w:ascii="Times New Roman" w:eastAsia="Times New Roman" w:hAnsi="Times New Roman" w:cs="Times New Roman"/>
          <w:sz w:val="24"/>
          <w:szCs w:val="24"/>
        </w:rPr>
        <w:t>Maack</w:t>
      </w:r>
      <w:proofErr w:type="spellEnd"/>
      <w:r>
        <w:rPr>
          <w:rFonts w:ascii="Times New Roman" w:eastAsia="Times New Roman" w:hAnsi="Times New Roman" w:cs="Times New Roman"/>
          <w:sz w:val="24"/>
          <w:szCs w:val="24"/>
        </w:rPr>
        <w:t>, 2001, p.75). The French also implemented state-sponsored institutions through their colonial history in Africa. Cultural centers were established by French embassies beginning in 1959. These centers contained libraries and reading rooms. Library collections in these centers provided access to French books and also encouraged African authors to write their works in French. The French state also provided French books to local libraries, schools, community centers, and other local institutions.</w:t>
      </w:r>
    </w:p>
    <w:p w14:paraId="00000020"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in 1934, the private institution called the British Council was established on the grounds that “cultural projection was inseparable from successful commerce and diplomacy” </w:t>
      </w:r>
      <w:r>
        <w:rPr>
          <w:rFonts w:ascii="Times New Roman" w:eastAsia="Times New Roman" w:hAnsi="Times New Roman" w:cs="Times New Roman"/>
          <w:sz w:val="24"/>
          <w:szCs w:val="24"/>
        </w:rPr>
        <w:lastRenderedPageBreak/>
        <w:t>(</w:t>
      </w:r>
      <w:proofErr w:type="spellStart"/>
      <w:r>
        <w:rPr>
          <w:rFonts w:ascii="Times New Roman" w:eastAsia="Times New Roman" w:hAnsi="Times New Roman" w:cs="Times New Roman"/>
          <w:sz w:val="24"/>
          <w:szCs w:val="24"/>
        </w:rPr>
        <w:t>Maack</w:t>
      </w:r>
      <w:proofErr w:type="spellEnd"/>
      <w:r>
        <w:rPr>
          <w:rFonts w:ascii="Times New Roman" w:eastAsia="Times New Roman" w:hAnsi="Times New Roman" w:cs="Times New Roman"/>
          <w:sz w:val="24"/>
          <w:szCs w:val="24"/>
        </w:rPr>
        <w:t>, 2001, p. 62). The British Council was under distant supervision by the British Foreign Office. The Council made available to the African public translated British books and more affordable British books through the Book Export Scheme, in a similar move to France’s own.</w:t>
      </w:r>
    </w:p>
    <w:p w14:paraId="00000021"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Americans discouraged private cultural diplomacy efforts and pursued public efforts. Prior to the mid-twentieth century, few American libraries existed in Africa at all, but as African states gained independence, the United States began to establish libraries as what Carl Rowan, former director of the United States Information Agency, called a symbol of Americans’ freedom of information (</w:t>
      </w:r>
      <w:proofErr w:type="spellStart"/>
      <w:r>
        <w:rPr>
          <w:rFonts w:ascii="Times New Roman" w:eastAsia="Times New Roman" w:hAnsi="Times New Roman" w:cs="Times New Roman"/>
          <w:sz w:val="24"/>
          <w:szCs w:val="24"/>
        </w:rPr>
        <w:t>Maack</w:t>
      </w:r>
      <w:proofErr w:type="spellEnd"/>
      <w:r>
        <w:rPr>
          <w:rFonts w:ascii="Times New Roman" w:eastAsia="Times New Roman" w:hAnsi="Times New Roman" w:cs="Times New Roman"/>
          <w:sz w:val="24"/>
          <w:szCs w:val="24"/>
        </w:rPr>
        <w:t>, 2001, p. 69). In particular, the USIA library established in Dakar was seen as a model library for its automation and technological advances, as well as free loan privileges. The agency’s guidelines stated that all the books in its collection should be related to the United States. Popular titles were translations of American novels and books about American industry.</w:t>
      </w:r>
    </w:p>
    <w:p w14:paraId="00000022" w14:textId="77777777" w:rsidR="00CD4CFC"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Legacy of Colonialism in Library Collections and Ongoing Work to Decolonize these Institutions</w:t>
      </w:r>
    </w:p>
    <w:p w14:paraId="00000023"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long history during which libraries have been used to enact colonialism, many library collections still contain evidence of colonialism. Therefore, these institutions do not serve some marginalized communities. Library professionals are now seeking to decolonize their institutions to better serve their communities’ needs. Broadly, this work is based in human rights promotion, and in North America, it is largely based in Indigenous knowledge and praxis. </w:t>
      </w:r>
    </w:p>
    <w:p w14:paraId="00000024"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B. Edwards (2010) describes the relationship between library tradition and human rights and suggests using the framework of the United Nation’s Universal Declaration of Human Rights. A cornerstone of the librarian profession is the concern with the protection and preservation of these rights, relating in particular to Article 27. This article states that all </w:t>
      </w:r>
      <w:r>
        <w:rPr>
          <w:rFonts w:ascii="Times New Roman" w:eastAsia="Times New Roman" w:hAnsi="Times New Roman" w:cs="Times New Roman"/>
          <w:sz w:val="24"/>
          <w:szCs w:val="24"/>
        </w:rPr>
        <w:lastRenderedPageBreak/>
        <w:t xml:space="preserve">individuals have the right to freely participate in community cultural life, including enjoyment of the arts and benefit from scientific advancements. J. B. Edwards (2010) sets forth a vision of librarianship based on studies of Article 27 that explores individuals’ right to participate in cultural life, including libraries. The authors urge library professionals and administrators to prioritize these human rights in administrating libraries. </w:t>
      </w:r>
    </w:p>
    <w:p w14:paraId="00000025"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North America, Indigenous ideology provides further framework for libraries serving marginalized communities. In describing the relationship between colonization and Canada’s academic libraries, A. Edwards (2019) illustrates the history of colonization in Canada, asserting that academic libraries played a role in colonization. Academic institutions, libraries, and books were used as tools to shape Indigenous peoples by colonizers who wished for assimilation. A. Edwards (2019) suggests steps toward decolonization, encouraging the examination of library services, collections, and classification systems for instances of colonial oppression. Included in this plan are opportunities for connection to build a relationship between local Indigenous groups and Canadian libraries.</w:t>
      </w:r>
    </w:p>
    <w:p w14:paraId="00000026" w14:textId="77777777" w:rsidR="00CD4CFC" w:rsidRDefault="00000000">
      <w:pPr>
        <w:shd w:val="clear" w:color="auto" w:fill="FFFFFF"/>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Ideologies like those described by Knopf (2015) may provide guidance for A. Edwards’ (2019) suggestions. Since the 1990s, Indigenous scholars have led this movement towards decolonization. They have advocated for the integration of Indigenous concepts into Western institutions including </w:t>
      </w:r>
      <w:proofErr w:type="spellStart"/>
      <w:r>
        <w:rPr>
          <w:rFonts w:ascii="Times New Roman" w:eastAsia="Times New Roman" w:hAnsi="Times New Roman" w:cs="Times New Roman"/>
          <w:sz w:val="24"/>
          <w:szCs w:val="24"/>
          <w:highlight w:val="white"/>
        </w:rPr>
        <w:t>Saytk’ilhl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Wo’osim</w:t>
      </w:r>
      <w:proofErr w:type="spellEnd"/>
      <w:r>
        <w:rPr>
          <w:rFonts w:ascii="Times New Roman" w:eastAsia="Times New Roman" w:hAnsi="Times New Roman" w:cs="Times New Roman"/>
          <w:sz w:val="24"/>
          <w:szCs w:val="24"/>
          <w:highlight w:val="white"/>
        </w:rPr>
        <w:t xml:space="preserve">, or resource-sharing; </w:t>
      </w:r>
      <w:proofErr w:type="spellStart"/>
      <w:r>
        <w:rPr>
          <w:rFonts w:ascii="Times New Roman" w:eastAsia="Times New Roman" w:hAnsi="Times New Roman" w:cs="Times New Roman"/>
          <w:sz w:val="24"/>
          <w:szCs w:val="24"/>
          <w:highlight w:val="white"/>
        </w:rPr>
        <w:t>Enowkinwixw</w:t>
      </w:r>
      <w:proofErr w:type="spellEnd"/>
      <w:r>
        <w:rPr>
          <w:rFonts w:ascii="Times New Roman" w:eastAsia="Times New Roman" w:hAnsi="Times New Roman" w:cs="Times New Roman"/>
          <w:sz w:val="24"/>
          <w:szCs w:val="24"/>
          <w:highlight w:val="white"/>
        </w:rPr>
        <w:t xml:space="preserve">, or consensus-finding; </w:t>
      </w:r>
      <w:proofErr w:type="spellStart"/>
      <w:r>
        <w:rPr>
          <w:rFonts w:ascii="Times New Roman" w:eastAsia="Times New Roman" w:hAnsi="Times New Roman" w:cs="Times New Roman"/>
          <w:sz w:val="24"/>
          <w:szCs w:val="24"/>
          <w:highlight w:val="white"/>
        </w:rPr>
        <w:t>Tsawalk</w:t>
      </w:r>
      <w:proofErr w:type="spellEnd"/>
      <w:r>
        <w:rPr>
          <w:rFonts w:ascii="Times New Roman" w:eastAsia="Times New Roman" w:hAnsi="Times New Roman" w:cs="Times New Roman"/>
          <w:sz w:val="24"/>
          <w:szCs w:val="24"/>
          <w:highlight w:val="white"/>
        </w:rPr>
        <w:t xml:space="preserve">, or “one”, indicating the interconnected nature of the world; and </w:t>
      </w:r>
      <w:proofErr w:type="spellStart"/>
      <w:r>
        <w:rPr>
          <w:rFonts w:ascii="Times New Roman" w:eastAsia="Times New Roman" w:hAnsi="Times New Roman" w:cs="Times New Roman"/>
          <w:sz w:val="24"/>
          <w:szCs w:val="24"/>
          <w:highlight w:val="white"/>
        </w:rPr>
        <w:t>Hahuulism</w:t>
      </w:r>
      <w:proofErr w:type="spellEnd"/>
      <w:r>
        <w:rPr>
          <w:rFonts w:ascii="Times New Roman" w:eastAsia="Times New Roman" w:hAnsi="Times New Roman" w:cs="Times New Roman"/>
          <w:sz w:val="24"/>
          <w:szCs w:val="24"/>
          <w:highlight w:val="white"/>
        </w:rPr>
        <w:t xml:space="preserve">, which encourages unity and collaboration amongst the global community (Knopf, 2015). The integration of these concepts may also dismantle lasting colonial dominance in these institutions. Knopf (2015) suggests application of these Indigenous concepts in several fields. </w:t>
      </w:r>
      <w:proofErr w:type="spellStart"/>
      <w:r>
        <w:rPr>
          <w:rFonts w:ascii="Times New Roman" w:eastAsia="Times New Roman" w:hAnsi="Times New Roman" w:cs="Times New Roman"/>
          <w:sz w:val="24"/>
          <w:szCs w:val="24"/>
          <w:highlight w:val="white"/>
        </w:rPr>
        <w:t>Enowkinwixw</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 xml:space="preserve">for example, can be used as a political theory. </w:t>
      </w:r>
      <w:proofErr w:type="spellStart"/>
      <w:r>
        <w:rPr>
          <w:rFonts w:ascii="Times New Roman" w:eastAsia="Times New Roman" w:hAnsi="Times New Roman" w:cs="Times New Roman"/>
          <w:sz w:val="24"/>
          <w:szCs w:val="24"/>
          <w:highlight w:val="white"/>
        </w:rPr>
        <w:t>Tsawalk</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Hahuulism</w:t>
      </w:r>
      <w:proofErr w:type="spellEnd"/>
      <w:r>
        <w:rPr>
          <w:rFonts w:ascii="Times New Roman" w:eastAsia="Times New Roman" w:hAnsi="Times New Roman" w:cs="Times New Roman"/>
          <w:sz w:val="24"/>
          <w:szCs w:val="24"/>
          <w:highlight w:val="white"/>
        </w:rPr>
        <w:t xml:space="preserve"> may be used to combat global crises like climate change or war (Knopf, 2015).</w:t>
      </w:r>
    </w:p>
    <w:p w14:paraId="00000027"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implementation of such concepts has been successful. Soto (2010) illustrates real examples of the implementation of this praxis, emphasizing Indigenous communal theories as opposed to Western individuality mindsets. Soto (2010) describes their implementation of an Indigenous library at the Arizona State University Library’s </w:t>
      </w:r>
      <w:proofErr w:type="spellStart"/>
      <w:r>
        <w:rPr>
          <w:rFonts w:ascii="Times New Roman" w:eastAsia="Times New Roman" w:hAnsi="Times New Roman" w:cs="Times New Roman"/>
          <w:sz w:val="24"/>
          <w:szCs w:val="24"/>
        </w:rPr>
        <w:t>Labriola</w:t>
      </w:r>
      <w:proofErr w:type="spellEnd"/>
      <w:r>
        <w:rPr>
          <w:rFonts w:ascii="Times New Roman" w:eastAsia="Times New Roman" w:hAnsi="Times New Roman" w:cs="Times New Roman"/>
          <w:sz w:val="24"/>
          <w:szCs w:val="24"/>
        </w:rPr>
        <w:t xml:space="preserve"> National American Indian Data Center that utilizes Indigenous Knowledge Systems that successfully is grounded in aspirations for self-governance and sovereignty, like those described by Knopf (2015), and implements critical race theory in order to meet the needs of local Indigenous communities.</w:t>
      </w:r>
    </w:p>
    <w:p w14:paraId="00000028" w14:textId="77777777" w:rsidR="00CD4CFC" w:rsidRDefault="00000000">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29" w14:textId="77777777" w:rsidR="00CD4CFC"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Libraries are multifunctional. They provide access to education and are a community space, for example. They may also be used to subtly influence the political and cultural identity of a community, as was the case with many colonial libraries. Some library collections today continue this legacy, but there is ongoing work based in Indigenous knowledge and other decolonization theory to shape libraries to better serve marginalized communities.</w:t>
      </w:r>
      <w:r>
        <w:br w:type="page"/>
      </w:r>
    </w:p>
    <w:p w14:paraId="0000002A" w14:textId="77777777" w:rsidR="00CD4CFC" w:rsidRDefault="00000000">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000002B" w14:textId="77777777" w:rsidR="00CD4CFC" w:rsidRDefault="00000000" w:rsidP="009868FF">
      <w:pPr>
        <w:shd w:val="clear" w:color="auto" w:fill="FFFFFF"/>
        <w:spacing w:line="480" w:lineRule="auto"/>
        <w:ind w:left="720" w:right="15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Atkin, L., </w:t>
      </w:r>
      <w:proofErr w:type="spellStart"/>
      <w:r>
        <w:rPr>
          <w:rFonts w:ascii="Times New Roman" w:eastAsia="Times New Roman" w:hAnsi="Times New Roman" w:cs="Times New Roman"/>
          <w:sz w:val="24"/>
          <w:szCs w:val="24"/>
        </w:rPr>
        <w:t>Comyn</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Fermanis</w:t>
      </w:r>
      <w:proofErr w:type="spellEnd"/>
      <w:r>
        <w:rPr>
          <w:rFonts w:ascii="Times New Roman" w:eastAsia="Times New Roman" w:hAnsi="Times New Roman" w:cs="Times New Roman"/>
          <w:sz w:val="24"/>
          <w:szCs w:val="24"/>
        </w:rPr>
        <w:t xml:space="preserve">, P., Garvey, N. (2019). </w:t>
      </w:r>
      <w:r>
        <w:rPr>
          <w:rFonts w:ascii="Times New Roman" w:eastAsia="Times New Roman" w:hAnsi="Times New Roman" w:cs="Times New Roman"/>
          <w:i/>
          <w:sz w:val="24"/>
          <w:szCs w:val="24"/>
        </w:rPr>
        <w:t>Early public libraries and colonial citizenship in the British Southern Hemisphere.</w:t>
      </w:r>
      <w:r>
        <w:rPr>
          <w:rFonts w:ascii="Times New Roman" w:eastAsia="Times New Roman" w:hAnsi="Times New Roman" w:cs="Times New Roman"/>
          <w:sz w:val="24"/>
          <w:szCs w:val="24"/>
        </w:rPr>
        <w:t xml:space="preserve"> Palgrave Macmillan.</w:t>
      </w:r>
    </w:p>
    <w:p w14:paraId="0000002C"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shd w:val="clear" w:color="auto" w:fill="FFF2CC"/>
        </w:rPr>
      </w:pPr>
      <w:proofErr w:type="spellStart"/>
      <w:r>
        <w:rPr>
          <w:rFonts w:ascii="Times New Roman" w:eastAsia="Times New Roman" w:hAnsi="Times New Roman" w:cs="Times New Roman"/>
          <w:sz w:val="24"/>
          <w:szCs w:val="24"/>
        </w:rPr>
        <w:t>Cobley</w:t>
      </w:r>
      <w:proofErr w:type="spellEnd"/>
      <w:r>
        <w:rPr>
          <w:rFonts w:ascii="Times New Roman" w:eastAsia="Times New Roman" w:hAnsi="Times New Roman" w:cs="Times New Roman"/>
          <w:sz w:val="24"/>
          <w:szCs w:val="24"/>
        </w:rPr>
        <w:t xml:space="preserve">, A. G. (1997). Literacy, libraries, and consciousness: The provision of library services for Blacks in South Africa in the pre-apartheid era. </w:t>
      </w:r>
      <w:r>
        <w:rPr>
          <w:rFonts w:ascii="Times New Roman" w:eastAsia="Times New Roman" w:hAnsi="Times New Roman" w:cs="Times New Roman"/>
          <w:i/>
          <w:sz w:val="24"/>
          <w:szCs w:val="24"/>
        </w:rPr>
        <w:t>Libraries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32</w:t>
      </w:r>
      <w:r>
        <w:rPr>
          <w:rFonts w:ascii="Times New Roman" w:eastAsia="Times New Roman" w:hAnsi="Times New Roman" w:cs="Times New Roman"/>
          <w:sz w:val="24"/>
          <w:szCs w:val="24"/>
        </w:rPr>
        <w:t xml:space="preserve">(1), 57-80. </w:t>
      </w:r>
      <w:hyperlink r:id="rId6">
        <w:r>
          <w:rPr>
            <w:rFonts w:ascii="Times New Roman" w:eastAsia="Times New Roman" w:hAnsi="Times New Roman" w:cs="Times New Roman"/>
            <w:color w:val="1155CC"/>
            <w:sz w:val="24"/>
            <w:szCs w:val="24"/>
            <w:u w:val="single"/>
          </w:rPr>
          <w:t>http://www.jstor.org/stable/25548488</w:t>
        </w:r>
      </w:hyperlink>
    </w:p>
    <w:p w14:paraId="0000002D"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Davis, D. G. (2010). International trends in library history. </w:t>
      </w:r>
      <w:r>
        <w:rPr>
          <w:rFonts w:ascii="Times New Roman" w:eastAsia="Times New Roman" w:hAnsi="Times New Roman" w:cs="Times New Roman"/>
          <w:i/>
          <w:sz w:val="24"/>
          <w:szCs w:val="24"/>
        </w:rPr>
        <w:t>Libraries &amp; the Cultural Record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45</w:t>
      </w:r>
      <w:r>
        <w:rPr>
          <w:rFonts w:ascii="Times New Roman" w:eastAsia="Times New Roman" w:hAnsi="Times New Roman" w:cs="Times New Roman"/>
          <w:sz w:val="24"/>
          <w:szCs w:val="24"/>
        </w:rPr>
        <w:t xml:space="preserve">(1), 123-129. </w:t>
      </w:r>
      <w:hyperlink r:id="rId7">
        <w:r>
          <w:rPr>
            <w:rFonts w:ascii="Times New Roman" w:eastAsia="Times New Roman" w:hAnsi="Times New Roman" w:cs="Times New Roman"/>
            <w:color w:val="1155CC"/>
            <w:sz w:val="24"/>
            <w:szCs w:val="24"/>
            <w:u w:val="single"/>
          </w:rPr>
          <w:t>http://www.jstor.org/stable/20720644</w:t>
        </w:r>
      </w:hyperlink>
      <w:r>
        <w:rPr>
          <w:rFonts w:ascii="Times New Roman" w:eastAsia="Times New Roman" w:hAnsi="Times New Roman" w:cs="Times New Roman"/>
          <w:sz w:val="24"/>
          <w:szCs w:val="24"/>
        </w:rPr>
        <w:t xml:space="preserve"> </w:t>
      </w:r>
    </w:p>
    <w:p w14:paraId="0000002E"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H. (2011). “The persuasion of books”: The significance of libraries in colonial British Columbia. </w:t>
      </w:r>
      <w:r>
        <w:rPr>
          <w:rFonts w:ascii="Times New Roman" w:eastAsia="Times New Roman" w:hAnsi="Times New Roman" w:cs="Times New Roman"/>
          <w:i/>
          <w:sz w:val="24"/>
          <w:szCs w:val="24"/>
        </w:rPr>
        <w:t>Libraries &amp; the Cultural Record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46</w:t>
      </w:r>
      <w:r>
        <w:rPr>
          <w:rFonts w:ascii="Times New Roman" w:eastAsia="Times New Roman" w:hAnsi="Times New Roman" w:cs="Times New Roman"/>
          <w:sz w:val="24"/>
          <w:szCs w:val="24"/>
        </w:rPr>
        <w:t xml:space="preserve">(1), 50–72. </w:t>
      </w:r>
      <w:hyperlink r:id="rId8">
        <w:r>
          <w:rPr>
            <w:rFonts w:ascii="Times New Roman" w:eastAsia="Times New Roman" w:hAnsi="Times New Roman" w:cs="Times New Roman"/>
            <w:color w:val="1155CC"/>
            <w:sz w:val="24"/>
            <w:szCs w:val="24"/>
            <w:u w:val="single"/>
          </w:rPr>
          <w:t>https://www.jstor.org/stable/23053620</w:t>
        </w:r>
      </w:hyperlink>
    </w:p>
    <w:p w14:paraId="0000002F"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Edwards, A. (2019). Unsettling the future by uncovering the past: Decolonizing academic libraries and librarianship. </w:t>
      </w:r>
      <w:r>
        <w:rPr>
          <w:rFonts w:ascii="Times New Roman" w:eastAsia="Times New Roman" w:hAnsi="Times New Roman" w:cs="Times New Roman"/>
          <w:i/>
          <w:sz w:val="24"/>
          <w:szCs w:val="24"/>
        </w:rPr>
        <w:t>The Canadian Journal of Library and Information Practice and Research</w:t>
      </w:r>
      <w:r>
        <w:rPr>
          <w:rFonts w:ascii="Times New Roman" w:eastAsia="Times New Roman" w:hAnsi="Times New Roman" w:cs="Times New Roman"/>
          <w:sz w:val="24"/>
          <w:szCs w:val="24"/>
        </w:rPr>
        <w:t xml:space="preserve"> 14(1), 1-12. </w:t>
      </w:r>
      <w:hyperlink r:id="rId9">
        <w:r>
          <w:rPr>
            <w:rFonts w:ascii="Times New Roman" w:eastAsia="Times New Roman" w:hAnsi="Times New Roman" w:cs="Times New Roman"/>
            <w:color w:val="1155CC"/>
            <w:sz w:val="24"/>
            <w:szCs w:val="24"/>
            <w:u w:val="single"/>
          </w:rPr>
          <w:t>https://journal.lib.uoguelph.ca/index.php/perj/article/view/5161</w:t>
        </w:r>
      </w:hyperlink>
      <w:r>
        <w:rPr>
          <w:rFonts w:ascii="Times New Roman" w:eastAsia="Times New Roman" w:hAnsi="Times New Roman" w:cs="Times New Roman"/>
          <w:sz w:val="24"/>
          <w:szCs w:val="24"/>
        </w:rPr>
        <w:t xml:space="preserve"> </w:t>
      </w:r>
    </w:p>
    <w:p w14:paraId="00000030"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Edwards, J.B. (2010). “Symbolic Possibilities.” In Edwards, J. B. &amp; Edwards, S. P. (Eds.), </w:t>
      </w:r>
      <w:r>
        <w:rPr>
          <w:rFonts w:ascii="Times New Roman" w:eastAsia="Times New Roman" w:hAnsi="Times New Roman" w:cs="Times New Roman"/>
          <w:i/>
          <w:sz w:val="24"/>
          <w:szCs w:val="24"/>
        </w:rPr>
        <w:t>Beyond Article 19: Libraries and social and cultural rights</w:t>
      </w:r>
      <w:r>
        <w:rPr>
          <w:rFonts w:ascii="Times New Roman" w:eastAsia="Times New Roman" w:hAnsi="Times New Roman" w:cs="Times New Roman"/>
          <w:sz w:val="24"/>
          <w:szCs w:val="24"/>
        </w:rPr>
        <w:t>. Library Juice Press.</w:t>
      </w:r>
    </w:p>
    <w:p w14:paraId="00000031"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Grover, M. L. (1993). The book and the conquest: Jesuit libraries in colonial Brazil. </w:t>
      </w:r>
      <w:r>
        <w:rPr>
          <w:rFonts w:ascii="Times New Roman" w:eastAsia="Times New Roman" w:hAnsi="Times New Roman" w:cs="Times New Roman"/>
          <w:i/>
          <w:sz w:val="24"/>
          <w:szCs w:val="24"/>
        </w:rPr>
        <w:t>Libraries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 xml:space="preserve">(3), 266-283. </w:t>
      </w:r>
      <w:hyperlink r:id="rId10">
        <w:r>
          <w:rPr>
            <w:rFonts w:ascii="Times New Roman" w:eastAsia="Times New Roman" w:hAnsi="Times New Roman" w:cs="Times New Roman"/>
            <w:color w:val="1155CC"/>
            <w:sz w:val="24"/>
            <w:szCs w:val="24"/>
            <w:u w:val="single"/>
          </w:rPr>
          <w:t>http://www.jstor.org/stable/25542561</w:t>
        </w:r>
      </w:hyperlink>
      <w:r>
        <w:rPr>
          <w:rFonts w:ascii="Times New Roman" w:eastAsia="Times New Roman" w:hAnsi="Times New Roman" w:cs="Times New Roman"/>
          <w:sz w:val="24"/>
          <w:szCs w:val="24"/>
        </w:rPr>
        <w:t xml:space="preserve"> </w:t>
      </w:r>
    </w:p>
    <w:p w14:paraId="00000032"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Hampe</w:t>
      </w:r>
      <w:proofErr w:type="spellEnd"/>
      <w:r>
        <w:rPr>
          <w:rFonts w:ascii="Times New Roman" w:eastAsia="Times New Roman" w:hAnsi="Times New Roman" w:cs="Times New Roman"/>
          <w:sz w:val="24"/>
          <w:szCs w:val="24"/>
        </w:rPr>
        <w:t xml:space="preserve">-Martínez, T. (1993). The diffusion of books and ideas in colonial Peru: A study of private libraries in the sixteenth and seventeenth centuries. </w:t>
      </w:r>
      <w:r>
        <w:rPr>
          <w:rFonts w:ascii="Times New Roman" w:eastAsia="Times New Roman" w:hAnsi="Times New Roman" w:cs="Times New Roman"/>
          <w:i/>
          <w:sz w:val="24"/>
          <w:szCs w:val="24"/>
        </w:rPr>
        <w:t>The Hispanic American Historical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73</w:t>
      </w:r>
      <w:r>
        <w:rPr>
          <w:rFonts w:ascii="Times New Roman" w:eastAsia="Times New Roman" w:hAnsi="Times New Roman" w:cs="Times New Roman"/>
          <w:sz w:val="24"/>
          <w:szCs w:val="24"/>
        </w:rPr>
        <w:t xml:space="preserve">(2), 211-233. </w:t>
      </w:r>
      <w:hyperlink r:id="rId11">
        <w:r>
          <w:rPr>
            <w:rFonts w:ascii="Times New Roman" w:eastAsia="Times New Roman" w:hAnsi="Times New Roman" w:cs="Times New Roman"/>
            <w:color w:val="1155CC"/>
            <w:sz w:val="24"/>
            <w:szCs w:val="24"/>
            <w:highlight w:val="white"/>
            <w:u w:val="single"/>
          </w:rPr>
          <w:t>https://doi.org/10.2307/2517754</w:t>
        </w:r>
      </w:hyperlink>
    </w:p>
    <w:p w14:paraId="00000033" w14:textId="77777777" w:rsidR="00CD4CFC" w:rsidRDefault="00000000" w:rsidP="009868F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Hernández, V. S. (1996). The Spanish colonial library institutions. </w:t>
      </w:r>
      <w:r>
        <w:rPr>
          <w:rFonts w:ascii="Times New Roman" w:eastAsia="Times New Roman" w:hAnsi="Times New Roman" w:cs="Times New Roman"/>
          <w:i/>
          <w:sz w:val="24"/>
          <w:szCs w:val="24"/>
        </w:rPr>
        <w:t>Philippine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44</w:t>
      </w:r>
      <w:r>
        <w:rPr>
          <w:rFonts w:ascii="Times New Roman" w:eastAsia="Times New Roman" w:hAnsi="Times New Roman" w:cs="Times New Roman"/>
          <w:sz w:val="24"/>
          <w:szCs w:val="24"/>
        </w:rPr>
        <w:t xml:space="preserve">(3), 321–348. </w:t>
      </w:r>
      <w:hyperlink r:id="rId12">
        <w:r>
          <w:rPr>
            <w:rFonts w:ascii="Times New Roman" w:eastAsia="Times New Roman" w:hAnsi="Times New Roman" w:cs="Times New Roman"/>
            <w:color w:val="1155CC"/>
            <w:sz w:val="24"/>
            <w:szCs w:val="24"/>
            <w:u w:val="single"/>
          </w:rPr>
          <w:t>http://www.jstor.org/stable/42634613</w:t>
        </w:r>
      </w:hyperlink>
    </w:p>
    <w:p w14:paraId="00000034" w14:textId="77777777" w:rsidR="00CD4CFC" w:rsidRDefault="00000000" w:rsidP="009868F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V. S. (2001). Trends in Philippine library history. </w:t>
      </w:r>
      <w:r>
        <w:rPr>
          <w:rFonts w:ascii="Times New Roman" w:eastAsia="Times New Roman" w:hAnsi="Times New Roman" w:cs="Times New Roman"/>
          <w:i/>
          <w:sz w:val="24"/>
          <w:szCs w:val="24"/>
        </w:rPr>
        <w:t>Libraries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(2), 329–344. </w:t>
      </w:r>
      <w:hyperlink r:id="rId13">
        <w:r>
          <w:rPr>
            <w:rFonts w:ascii="Times New Roman" w:eastAsia="Times New Roman" w:hAnsi="Times New Roman" w:cs="Times New Roman"/>
            <w:color w:val="1155CC"/>
            <w:sz w:val="24"/>
            <w:szCs w:val="24"/>
            <w:u w:val="single"/>
          </w:rPr>
          <w:t>http://www.jstor.org/stable/25548913</w:t>
        </w:r>
      </w:hyperlink>
      <w:r>
        <w:rPr>
          <w:rFonts w:ascii="Times New Roman" w:eastAsia="Times New Roman" w:hAnsi="Times New Roman" w:cs="Times New Roman"/>
          <w:sz w:val="24"/>
          <w:szCs w:val="24"/>
        </w:rPr>
        <w:t xml:space="preserve"> </w:t>
      </w:r>
    </w:p>
    <w:p w14:paraId="00000035"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Fitzpatrick, E. B. (2008). The public library as instrument of colonialism: The case of the Netherlands East Indies. </w:t>
      </w:r>
      <w:r>
        <w:rPr>
          <w:rFonts w:ascii="Times New Roman" w:eastAsia="Times New Roman" w:hAnsi="Times New Roman" w:cs="Times New Roman"/>
          <w:i/>
          <w:sz w:val="24"/>
          <w:szCs w:val="24"/>
        </w:rPr>
        <w:t>Libraries &amp; the Cultural Record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(3), 270-285. </w:t>
      </w:r>
      <w:hyperlink r:id="rId14">
        <w:r>
          <w:rPr>
            <w:rFonts w:ascii="Times New Roman" w:eastAsia="Times New Roman" w:hAnsi="Times New Roman" w:cs="Times New Roman"/>
            <w:color w:val="1155CC"/>
            <w:sz w:val="24"/>
            <w:szCs w:val="24"/>
            <w:u w:val="single"/>
          </w:rPr>
          <w:t>http://www.jstor.org/stable/25549496</w:t>
        </w:r>
      </w:hyperlink>
      <w:r>
        <w:rPr>
          <w:rFonts w:ascii="Times New Roman" w:eastAsia="Times New Roman" w:hAnsi="Times New Roman" w:cs="Times New Roman"/>
          <w:sz w:val="24"/>
          <w:szCs w:val="24"/>
        </w:rPr>
        <w:t xml:space="preserve"> </w:t>
      </w:r>
    </w:p>
    <w:p w14:paraId="00000036" w14:textId="77777777" w:rsidR="00CD4CFC" w:rsidRDefault="00000000" w:rsidP="009868FF">
      <w:pPr>
        <w:shd w:val="clear" w:color="auto" w:fill="FFFFFF"/>
        <w:spacing w:line="480" w:lineRule="auto"/>
        <w:ind w:left="720" w:right="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Knopf, K. (2015). The turn toward the Indigenous: Knowledge systems and practices in the academy. </w:t>
      </w:r>
      <w:proofErr w:type="spellStart"/>
      <w:r>
        <w:rPr>
          <w:rFonts w:ascii="Times New Roman" w:eastAsia="Times New Roman" w:hAnsi="Times New Roman" w:cs="Times New Roman"/>
          <w:i/>
          <w:sz w:val="24"/>
          <w:szCs w:val="24"/>
        </w:rPr>
        <w:t>Amerikastudien</w:t>
      </w:r>
      <w:proofErr w:type="spellEnd"/>
      <w:r>
        <w:rPr>
          <w:rFonts w:ascii="Times New Roman" w:eastAsia="Times New Roman" w:hAnsi="Times New Roman" w:cs="Times New Roman"/>
          <w:i/>
          <w:sz w:val="24"/>
          <w:szCs w:val="24"/>
        </w:rPr>
        <w:t>/American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 xml:space="preserve">(2/3), 179-200. </w:t>
      </w:r>
      <w:hyperlink r:id="rId15">
        <w:r>
          <w:rPr>
            <w:rFonts w:ascii="Times New Roman" w:eastAsia="Times New Roman" w:hAnsi="Times New Roman" w:cs="Times New Roman"/>
            <w:color w:val="1155CC"/>
            <w:sz w:val="24"/>
            <w:szCs w:val="24"/>
            <w:u w:val="single"/>
          </w:rPr>
          <w:t>http://www.jstor.org/stable/44071904</w:t>
        </w:r>
      </w:hyperlink>
      <w:r>
        <w:rPr>
          <w:rFonts w:ascii="Times New Roman" w:eastAsia="Times New Roman" w:hAnsi="Times New Roman" w:cs="Times New Roman"/>
          <w:sz w:val="24"/>
          <w:szCs w:val="24"/>
        </w:rPr>
        <w:t xml:space="preserve"> </w:t>
      </w:r>
    </w:p>
    <w:p w14:paraId="00000037" w14:textId="77777777" w:rsidR="00CD4CFC" w:rsidRDefault="00000000" w:rsidP="009868F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Knuth, R. (2006). </w:t>
      </w:r>
      <w:r>
        <w:rPr>
          <w:rFonts w:ascii="Times New Roman" w:eastAsia="Times New Roman" w:hAnsi="Times New Roman" w:cs="Times New Roman"/>
          <w:i/>
          <w:sz w:val="24"/>
          <w:szCs w:val="24"/>
        </w:rPr>
        <w:t xml:space="preserve">Burning books and leveling libraries: Extremist violence and cultural destruction. </w:t>
      </w:r>
      <w:r>
        <w:rPr>
          <w:rFonts w:ascii="Times New Roman" w:eastAsia="Times New Roman" w:hAnsi="Times New Roman" w:cs="Times New Roman"/>
          <w:sz w:val="24"/>
          <w:szCs w:val="24"/>
        </w:rPr>
        <w:t>Praeger Publishers.</w:t>
      </w:r>
    </w:p>
    <w:p w14:paraId="00000038" w14:textId="77777777" w:rsidR="00CD4CFC" w:rsidRDefault="00000000" w:rsidP="009868F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Knuth, R. (2003). </w:t>
      </w:r>
      <w:proofErr w:type="spellStart"/>
      <w:r>
        <w:rPr>
          <w:rFonts w:ascii="Times New Roman" w:eastAsia="Times New Roman" w:hAnsi="Times New Roman" w:cs="Times New Roman"/>
          <w:i/>
          <w:sz w:val="24"/>
          <w:szCs w:val="24"/>
        </w:rPr>
        <w:t>Libricide</w:t>
      </w:r>
      <w:proofErr w:type="spellEnd"/>
      <w:r>
        <w:rPr>
          <w:rFonts w:ascii="Times New Roman" w:eastAsia="Times New Roman" w:hAnsi="Times New Roman" w:cs="Times New Roman"/>
          <w:i/>
          <w:sz w:val="24"/>
          <w:szCs w:val="24"/>
        </w:rPr>
        <w:t>: The regime-sponsored destruction of books and libraries in the twentieth century.</w:t>
      </w:r>
      <w:r>
        <w:rPr>
          <w:rFonts w:ascii="Times New Roman" w:eastAsia="Times New Roman" w:hAnsi="Times New Roman" w:cs="Times New Roman"/>
          <w:sz w:val="24"/>
          <w:szCs w:val="24"/>
        </w:rPr>
        <w:t xml:space="preserve"> Praeger Publishers. </w:t>
      </w:r>
    </w:p>
    <w:p w14:paraId="00000039" w14:textId="77777777" w:rsidR="00CD4CFC" w:rsidRDefault="00000000" w:rsidP="009868FF">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Maack</w:t>
      </w:r>
      <w:proofErr w:type="spellEnd"/>
      <w:r>
        <w:rPr>
          <w:rFonts w:ascii="Times New Roman" w:eastAsia="Times New Roman" w:hAnsi="Times New Roman" w:cs="Times New Roman"/>
          <w:sz w:val="24"/>
          <w:szCs w:val="24"/>
        </w:rPr>
        <w:t xml:space="preserve">, M. N. (2001). Books and libraries as instruments of cultural diplomacy in Francophone Africa during the Cold War. </w:t>
      </w:r>
      <w:r>
        <w:rPr>
          <w:rFonts w:ascii="Times New Roman" w:eastAsia="Times New Roman" w:hAnsi="Times New Roman" w:cs="Times New Roman"/>
          <w:i/>
          <w:sz w:val="24"/>
          <w:szCs w:val="24"/>
        </w:rPr>
        <w:t>Libraries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xml:space="preserve">(1), 58–86. </w:t>
      </w:r>
      <w:hyperlink r:id="rId16">
        <w:r>
          <w:rPr>
            <w:rFonts w:ascii="Times New Roman" w:eastAsia="Times New Roman" w:hAnsi="Times New Roman" w:cs="Times New Roman"/>
            <w:color w:val="1155CC"/>
            <w:sz w:val="24"/>
            <w:szCs w:val="24"/>
            <w:u w:val="single"/>
          </w:rPr>
          <w:t>http://www.jstor.org/stable/25548892</w:t>
        </w:r>
      </w:hyperlink>
    </w:p>
    <w:p w14:paraId="3DD9C1F3" w14:textId="490DEC83" w:rsidR="009868FF" w:rsidRDefault="00000000" w:rsidP="009868FF">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Ovenden, R. (2020). </w:t>
      </w:r>
      <w:r>
        <w:rPr>
          <w:rFonts w:ascii="Times New Roman" w:eastAsia="Times New Roman" w:hAnsi="Times New Roman" w:cs="Times New Roman"/>
          <w:i/>
          <w:sz w:val="24"/>
          <w:szCs w:val="24"/>
        </w:rPr>
        <w:t>Burning the books: A history of the deliberate destruction of knowledge</w:t>
      </w:r>
      <w:r>
        <w:rPr>
          <w:rFonts w:ascii="Times New Roman" w:eastAsia="Times New Roman" w:hAnsi="Times New Roman" w:cs="Times New Roman"/>
          <w:sz w:val="24"/>
          <w:szCs w:val="24"/>
        </w:rPr>
        <w:t>. The Belknap Press of Harvard University Press.</w:t>
      </w:r>
    </w:p>
    <w:p w14:paraId="0000003D" w14:textId="2FEED9A4" w:rsidR="00CD4CFC" w:rsidRPr="009868FF" w:rsidRDefault="00000000" w:rsidP="009868FF">
      <w:pPr>
        <w:shd w:val="clear" w:color="auto" w:fill="FFFFFF"/>
        <w:spacing w:line="480" w:lineRule="auto"/>
        <w:ind w:left="720" w:right="16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Soto, A. (2010). “The Right to Know”: Actualizing decolonization through Indigenous librarianship. In Clark, J. J., &amp; Boxer, E. (Eds.), </w:t>
      </w:r>
      <w:r>
        <w:rPr>
          <w:rFonts w:ascii="Times New Roman" w:eastAsia="Times New Roman" w:hAnsi="Times New Roman" w:cs="Times New Roman"/>
          <w:i/>
          <w:sz w:val="24"/>
          <w:szCs w:val="24"/>
        </w:rPr>
        <w:t>From the skin: defending Indigenous nations using theory and praxis</w:t>
      </w:r>
      <w:r>
        <w:rPr>
          <w:rFonts w:ascii="Times New Roman" w:eastAsia="Times New Roman" w:hAnsi="Times New Roman" w:cs="Times New Roman"/>
          <w:sz w:val="24"/>
          <w:szCs w:val="24"/>
        </w:rPr>
        <w:t xml:space="preserve">. (133-170). University of Arizona Press. </w:t>
      </w:r>
      <w:hyperlink r:id="rId17">
        <w:r>
          <w:rPr>
            <w:rFonts w:ascii="Times New Roman" w:eastAsia="Times New Roman" w:hAnsi="Times New Roman" w:cs="Times New Roman"/>
            <w:color w:val="1155CC"/>
            <w:sz w:val="24"/>
            <w:szCs w:val="24"/>
            <w:u w:val="single"/>
          </w:rPr>
          <w:t>https://doi-org.proxy.ulib.uits.iu.edu/10.2307/jj.7533914.9</w:t>
        </w:r>
      </w:hyperlink>
    </w:p>
    <w:sectPr w:rsidR="00CD4CFC" w:rsidRPr="009868FF">
      <w:head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907B" w14:textId="77777777" w:rsidR="0023093A" w:rsidRDefault="0023093A">
      <w:pPr>
        <w:spacing w:line="240" w:lineRule="auto"/>
      </w:pPr>
      <w:r>
        <w:separator/>
      </w:r>
    </w:p>
  </w:endnote>
  <w:endnote w:type="continuationSeparator" w:id="0">
    <w:p w14:paraId="494A66D5" w14:textId="77777777" w:rsidR="0023093A" w:rsidRDefault="00230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CD4CFC" w:rsidRDefault="00CD4C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0AFC" w14:textId="77777777" w:rsidR="0023093A" w:rsidRDefault="0023093A">
      <w:pPr>
        <w:spacing w:line="240" w:lineRule="auto"/>
      </w:pPr>
      <w:r>
        <w:separator/>
      </w:r>
    </w:p>
  </w:footnote>
  <w:footnote w:type="continuationSeparator" w:id="0">
    <w:p w14:paraId="301C494A" w14:textId="77777777" w:rsidR="0023093A" w:rsidRDefault="002309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537A9951" w:rsidR="00CD4CF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LIBRARIES AS A TOOL OF COLONIALISM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868FF">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CD4CFC" w:rsidRDefault="00CD4CFC">
    <w:pPr>
      <w:spacing w:line="480" w:lineRule="auto"/>
      <w:rPr>
        <w:rFonts w:ascii="Times New Roman" w:eastAsia="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FC"/>
    <w:rsid w:val="0023093A"/>
    <w:rsid w:val="009868FF"/>
    <w:rsid w:val="00CD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B55A00"/>
  <w15:docId w15:val="{C0D0C427-7BAB-0344-A2B1-5AA3BF75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stor.org/stable/23053620" TargetMode="External"/><Relationship Id="rId13" Type="http://schemas.openxmlformats.org/officeDocument/2006/relationships/hyperlink" Target="http://www.jstor.org/stable/2554891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jstor.org/stable/20720644" TargetMode="External"/><Relationship Id="rId12" Type="http://schemas.openxmlformats.org/officeDocument/2006/relationships/hyperlink" Target="http://www.jstor.org/stable/42634613" TargetMode="External"/><Relationship Id="rId17" Type="http://schemas.openxmlformats.org/officeDocument/2006/relationships/hyperlink" Target="https://doi-org.proxy.ulib.uits.iu.edu/10.2307/jj.7533914.9" TargetMode="External"/><Relationship Id="rId2" Type="http://schemas.openxmlformats.org/officeDocument/2006/relationships/settings" Target="settings.xml"/><Relationship Id="rId16" Type="http://schemas.openxmlformats.org/officeDocument/2006/relationships/hyperlink" Target="http://www.jstor.org/stable/25548892"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jstor.org/stable/25548488" TargetMode="External"/><Relationship Id="rId11" Type="http://schemas.openxmlformats.org/officeDocument/2006/relationships/hyperlink" Target="https://doi.org/10.2307/2517754" TargetMode="External"/><Relationship Id="rId5" Type="http://schemas.openxmlformats.org/officeDocument/2006/relationships/endnotes" Target="endnotes.xml"/><Relationship Id="rId15" Type="http://schemas.openxmlformats.org/officeDocument/2006/relationships/hyperlink" Target="http://www.jstor.org/stable/44071904" TargetMode="External"/><Relationship Id="rId10" Type="http://schemas.openxmlformats.org/officeDocument/2006/relationships/hyperlink" Target="http://www.jstor.org/stable/25542561"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journal.lib.uoguelph.ca/index.php/perj/article/view/5161" TargetMode="External"/><Relationship Id="rId14" Type="http://schemas.openxmlformats.org/officeDocument/2006/relationships/hyperlink" Target="http://www.jstor.org/stable/255494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3540</Words>
  <Characters>20181</Characters>
  <Application>Microsoft Office Word</Application>
  <DocSecurity>0</DocSecurity>
  <Lines>168</Lines>
  <Paragraphs>47</Paragraphs>
  <ScaleCrop>false</ScaleCrop>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Knutsen</cp:lastModifiedBy>
  <cp:revision>2</cp:revision>
  <dcterms:created xsi:type="dcterms:W3CDTF">2025-09-01T23:24:00Z</dcterms:created>
  <dcterms:modified xsi:type="dcterms:W3CDTF">2025-09-01T23:31:00Z</dcterms:modified>
</cp:coreProperties>
</file>