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610CC" w14:textId="77777777" w:rsidR="002F56B2" w:rsidRDefault="002F56B2" w:rsidP="002F56B2">
      <w:pPr>
        <w:spacing w:line="480" w:lineRule="auto"/>
        <w:jc w:val="center"/>
        <w:rPr>
          <w:rFonts w:ascii="Times New Roman" w:hAnsi="Times New Roman" w:cs="Times New Roman"/>
          <w:b/>
          <w:bCs/>
        </w:rPr>
      </w:pPr>
    </w:p>
    <w:p w14:paraId="13F7CC3F" w14:textId="77777777" w:rsidR="002F56B2" w:rsidRDefault="002F56B2" w:rsidP="002F56B2">
      <w:pPr>
        <w:spacing w:line="480" w:lineRule="auto"/>
        <w:jc w:val="center"/>
        <w:rPr>
          <w:rFonts w:ascii="Times New Roman" w:hAnsi="Times New Roman" w:cs="Times New Roman"/>
          <w:b/>
          <w:bCs/>
        </w:rPr>
      </w:pPr>
    </w:p>
    <w:p w14:paraId="12213980" w14:textId="77777777" w:rsidR="002F56B2" w:rsidRDefault="002F56B2" w:rsidP="002F56B2">
      <w:pPr>
        <w:spacing w:line="480" w:lineRule="auto"/>
        <w:jc w:val="center"/>
        <w:rPr>
          <w:rFonts w:ascii="Times New Roman" w:hAnsi="Times New Roman" w:cs="Times New Roman"/>
          <w:b/>
          <w:bCs/>
        </w:rPr>
      </w:pPr>
    </w:p>
    <w:p w14:paraId="7A29F411" w14:textId="77777777" w:rsidR="002F56B2" w:rsidRDefault="002F56B2" w:rsidP="002F56B2">
      <w:pPr>
        <w:spacing w:line="480" w:lineRule="auto"/>
        <w:jc w:val="center"/>
        <w:rPr>
          <w:rFonts w:ascii="Times New Roman" w:hAnsi="Times New Roman" w:cs="Times New Roman"/>
          <w:b/>
          <w:bCs/>
        </w:rPr>
      </w:pPr>
    </w:p>
    <w:p w14:paraId="0DBD1E49" w14:textId="1FA78F1C" w:rsidR="002F56B2" w:rsidRDefault="009B6CE3" w:rsidP="002F56B2">
      <w:pPr>
        <w:spacing w:line="480" w:lineRule="auto"/>
        <w:jc w:val="center"/>
        <w:rPr>
          <w:rFonts w:ascii="Times New Roman" w:hAnsi="Times New Roman" w:cs="Times New Roman"/>
          <w:b/>
          <w:bCs/>
        </w:rPr>
      </w:pPr>
      <w:r w:rsidRPr="002F56B2">
        <w:rPr>
          <w:rFonts w:ascii="Times New Roman" w:hAnsi="Times New Roman" w:cs="Times New Roman"/>
          <w:b/>
          <w:bCs/>
        </w:rPr>
        <w:t>The Industrial Revolution and the Rise of Public Libraries</w:t>
      </w:r>
    </w:p>
    <w:p w14:paraId="30279932" w14:textId="43D51291" w:rsidR="002F56B2" w:rsidRDefault="002F56B2" w:rsidP="002F56B2">
      <w:pPr>
        <w:spacing w:line="480" w:lineRule="auto"/>
        <w:jc w:val="center"/>
        <w:rPr>
          <w:rFonts w:ascii="Times New Roman" w:hAnsi="Times New Roman" w:cs="Times New Roman"/>
        </w:rPr>
      </w:pPr>
      <w:r>
        <w:rPr>
          <w:rFonts w:ascii="Times New Roman" w:hAnsi="Times New Roman" w:cs="Times New Roman"/>
        </w:rPr>
        <w:t>Connor A. Reazin</w:t>
      </w:r>
    </w:p>
    <w:p w14:paraId="185A12D3" w14:textId="62AEF838" w:rsidR="002F56B2" w:rsidRPr="002F56B2" w:rsidRDefault="00207D1E" w:rsidP="002F56B2">
      <w:pPr>
        <w:spacing w:line="480" w:lineRule="auto"/>
        <w:jc w:val="center"/>
        <w:rPr>
          <w:rFonts w:ascii="Times New Roman" w:hAnsi="Times New Roman" w:cs="Times New Roman"/>
        </w:rPr>
      </w:pPr>
      <w:r>
        <w:rPr>
          <w:rFonts w:ascii="Times New Roman" w:hAnsi="Times New Roman" w:cs="Times New Roman"/>
        </w:rPr>
        <w:t>Department of Library and Information Science, Luddy School of Informatics, Computing and Engineering</w:t>
      </w:r>
    </w:p>
    <w:p w14:paraId="7146DAC5" w14:textId="77777777" w:rsidR="002F56B2" w:rsidRDefault="002F56B2">
      <w:pPr>
        <w:rPr>
          <w:rFonts w:ascii="Times New Roman" w:hAnsi="Times New Roman" w:cs="Times New Roman"/>
        </w:rPr>
      </w:pPr>
      <w:r>
        <w:rPr>
          <w:rFonts w:ascii="Times New Roman" w:hAnsi="Times New Roman" w:cs="Times New Roman"/>
        </w:rPr>
        <w:br w:type="page"/>
      </w:r>
    </w:p>
    <w:p w14:paraId="2621F081" w14:textId="66F9D6C8" w:rsidR="00CE2A7E" w:rsidRDefault="00CE2A7E" w:rsidP="00CE2A7E">
      <w:pPr>
        <w:spacing w:line="480" w:lineRule="auto"/>
        <w:jc w:val="center"/>
        <w:rPr>
          <w:rFonts w:ascii="Times New Roman" w:hAnsi="Times New Roman" w:cs="Times New Roman"/>
          <w:b/>
          <w:bCs/>
        </w:rPr>
      </w:pPr>
      <w:r>
        <w:rPr>
          <w:rFonts w:ascii="Times New Roman" w:hAnsi="Times New Roman" w:cs="Times New Roman"/>
          <w:b/>
          <w:bCs/>
        </w:rPr>
        <w:lastRenderedPageBreak/>
        <w:t>Abstract</w:t>
      </w:r>
    </w:p>
    <w:p w14:paraId="762E69D8" w14:textId="004DBD92" w:rsidR="009F1CEF" w:rsidRPr="009F1CEF" w:rsidRDefault="009F1CEF" w:rsidP="009F1CEF">
      <w:pPr>
        <w:spacing w:line="480" w:lineRule="auto"/>
        <w:rPr>
          <w:rFonts w:ascii="Times New Roman" w:hAnsi="Times New Roman" w:cs="Times New Roman"/>
        </w:rPr>
      </w:pPr>
      <w:r>
        <w:rPr>
          <w:rFonts w:ascii="Times New Roman" w:hAnsi="Times New Roman" w:cs="Times New Roman"/>
          <w:b/>
          <w:bCs/>
        </w:rPr>
        <w:tab/>
      </w:r>
      <w:r w:rsidR="00BE4830">
        <w:rPr>
          <w:rFonts w:ascii="Times New Roman" w:hAnsi="Times New Roman" w:cs="Times New Roman"/>
        </w:rPr>
        <w:t>This paper looks at the development of public libraries in the United States during the 19</w:t>
      </w:r>
      <w:r w:rsidR="00BE4830" w:rsidRPr="00BE4830">
        <w:rPr>
          <w:rFonts w:ascii="Times New Roman" w:hAnsi="Times New Roman" w:cs="Times New Roman"/>
          <w:vertAlign w:val="superscript"/>
        </w:rPr>
        <w:t>th</w:t>
      </w:r>
      <w:r w:rsidR="00BE4830">
        <w:rPr>
          <w:rFonts w:ascii="Times New Roman" w:hAnsi="Times New Roman" w:cs="Times New Roman"/>
        </w:rPr>
        <w:t xml:space="preserve"> century </w:t>
      </w:r>
      <w:r w:rsidR="00194CB9">
        <w:rPr>
          <w:rFonts w:ascii="Times New Roman" w:hAnsi="Times New Roman" w:cs="Times New Roman"/>
        </w:rPr>
        <w:t>within</w:t>
      </w:r>
      <w:r w:rsidR="00BE4830">
        <w:rPr>
          <w:rFonts w:ascii="Times New Roman" w:hAnsi="Times New Roman" w:cs="Times New Roman"/>
        </w:rPr>
        <w:t xml:space="preserve"> the context of the Industrial Revolution. It ex</w:t>
      </w:r>
      <w:r w:rsidR="00194CB9">
        <w:rPr>
          <w:rFonts w:ascii="Times New Roman" w:hAnsi="Times New Roman" w:cs="Times New Roman"/>
        </w:rPr>
        <w:t>plores</w:t>
      </w:r>
      <w:r w:rsidR="00BE4830">
        <w:rPr>
          <w:rFonts w:ascii="Times New Roman" w:hAnsi="Times New Roman" w:cs="Times New Roman"/>
        </w:rPr>
        <w:t xml:space="preserve"> how technological developments </w:t>
      </w:r>
      <w:r w:rsidR="00194CB9">
        <w:rPr>
          <w:rFonts w:ascii="Times New Roman" w:hAnsi="Times New Roman" w:cs="Times New Roman"/>
        </w:rPr>
        <w:t xml:space="preserve">fueled the rise of a </w:t>
      </w:r>
      <w:r w:rsidR="00BE4830">
        <w:rPr>
          <w:rFonts w:ascii="Times New Roman" w:hAnsi="Times New Roman" w:cs="Times New Roman"/>
        </w:rPr>
        <w:t xml:space="preserve">national book trade and provided the materials necessary to meet a rising demand for books. Social factors like urbanization, growing readership, philanthropy, and moral ideals </w:t>
      </w:r>
      <w:r w:rsidR="00194CB9">
        <w:rPr>
          <w:rFonts w:ascii="Times New Roman" w:hAnsi="Times New Roman" w:cs="Times New Roman"/>
        </w:rPr>
        <w:t>were shaped by industrialization and further advanced library growth</w:t>
      </w:r>
      <w:r w:rsidR="00BE4830">
        <w:rPr>
          <w:rFonts w:ascii="Times New Roman" w:hAnsi="Times New Roman" w:cs="Times New Roman"/>
        </w:rPr>
        <w:t xml:space="preserve">. </w:t>
      </w:r>
      <w:r w:rsidR="00194CB9">
        <w:rPr>
          <w:rFonts w:ascii="Times New Roman" w:hAnsi="Times New Roman" w:cs="Times New Roman"/>
        </w:rPr>
        <w:t xml:space="preserve">Drawing on sources from </w:t>
      </w:r>
      <w:r w:rsidR="00BE4830">
        <w:rPr>
          <w:rFonts w:ascii="Times New Roman" w:hAnsi="Times New Roman" w:cs="Times New Roman"/>
        </w:rPr>
        <w:t>the history of the book, the history of technology, library science, and modern concerns of librarianship</w:t>
      </w:r>
      <w:r w:rsidR="00194CB9">
        <w:rPr>
          <w:rFonts w:ascii="Times New Roman" w:hAnsi="Times New Roman" w:cs="Times New Roman"/>
        </w:rPr>
        <w:t>, the paper</w:t>
      </w:r>
      <w:r w:rsidR="00BE4830">
        <w:rPr>
          <w:rFonts w:ascii="Times New Roman" w:hAnsi="Times New Roman" w:cs="Times New Roman"/>
        </w:rPr>
        <w:t xml:space="preserve"> </w:t>
      </w:r>
      <w:r w:rsidR="00194CB9">
        <w:rPr>
          <w:rFonts w:ascii="Times New Roman" w:hAnsi="Times New Roman" w:cs="Times New Roman"/>
        </w:rPr>
        <w:t>connects</w:t>
      </w:r>
      <w:r w:rsidR="00BE4830">
        <w:rPr>
          <w:rFonts w:ascii="Times New Roman" w:hAnsi="Times New Roman" w:cs="Times New Roman"/>
        </w:rPr>
        <w:t xml:space="preserve"> </w:t>
      </w:r>
      <w:r w:rsidR="00194CB9">
        <w:rPr>
          <w:rFonts w:ascii="Times New Roman" w:hAnsi="Times New Roman" w:cs="Times New Roman"/>
        </w:rPr>
        <w:t>these historical foundations to ongoing challenges in the field, highlighting how debates and priorities rooted in the 19</w:t>
      </w:r>
      <w:r w:rsidR="00194CB9" w:rsidRPr="00194CB9">
        <w:rPr>
          <w:rFonts w:ascii="Times New Roman" w:hAnsi="Times New Roman" w:cs="Times New Roman"/>
          <w:vertAlign w:val="superscript"/>
        </w:rPr>
        <w:t>th</w:t>
      </w:r>
      <w:r w:rsidR="00194CB9">
        <w:rPr>
          <w:rFonts w:ascii="Times New Roman" w:hAnsi="Times New Roman" w:cs="Times New Roman"/>
        </w:rPr>
        <w:t xml:space="preserve"> century continue to shape library work today.</w:t>
      </w:r>
    </w:p>
    <w:p w14:paraId="1DE553E2" w14:textId="5C6048A2" w:rsidR="00395C42" w:rsidRDefault="00395C42" w:rsidP="009B6CE3">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i/>
          <w:iCs/>
        </w:rPr>
        <w:t>Keywords</w:t>
      </w:r>
      <w:r>
        <w:rPr>
          <w:rFonts w:ascii="Times New Roman" w:hAnsi="Times New Roman" w:cs="Times New Roman"/>
        </w:rPr>
        <w:t xml:space="preserve">: Industrial Revolution, </w:t>
      </w:r>
      <w:r w:rsidR="00122736">
        <w:rPr>
          <w:rFonts w:ascii="Times New Roman" w:hAnsi="Times New Roman" w:cs="Times New Roman"/>
        </w:rPr>
        <w:t>United States, 19</w:t>
      </w:r>
      <w:r w:rsidR="00122736" w:rsidRPr="00122736">
        <w:rPr>
          <w:rFonts w:ascii="Times New Roman" w:hAnsi="Times New Roman" w:cs="Times New Roman"/>
          <w:vertAlign w:val="superscript"/>
        </w:rPr>
        <w:t>th</w:t>
      </w:r>
      <w:r w:rsidR="00122736">
        <w:rPr>
          <w:rFonts w:ascii="Times New Roman" w:hAnsi="Times New Roman" w:cs="Times New Roman"/>
        </w:rPr>
        <w:t xml:space="preserve"> century or 1800s or nineteenth century</w:t>
      </w:r>
    </w:p>
    <w:p w14:paraId="4F583DA5" w14:textId="0741BEE2" w:rsidR="00122736" w:rsidRDefault="00122736">
      <w:pPr>
        <w:rPr>
          <w:rFonts w:ascii="Times New Roman" w:hAnsi="Times New Roman" w:cs="Times New Roman"/>
        </w:rPr>
      </w:pPr>
      <w:r>
        <w:rPr>
          <w:rFonts w:ascii="Times New Roman" w:hAnsi="Times New Roman" w:cs="Times New Roman"/>
        </w:rPr>
        <w:br w:type="page"/>
      </w:r>
    </w:p>
    <w:p w14:paraId="004492B6" w14:textId="53253399" w:rsidR="00122736" w:rsidRDefault="009F1CEF" w:rsidP="00122736">
      <w:pPr>
        <w:spacing w:line="480" w:lineRule="auto"/>
        <w:jc w:val="center"/>
        <w:rPr>
          <w:rFonts w:ascii="Times New Roman" w:hAnsi="Times New Roman" w:cs="Times New Roman"/>
          <w:b/>
          <w:bCs/>
        </w:rPr>
      </w:pPr>
      <w:r>
        <w:rPr>
          <w:rFonts w:ascii="Times New Roman" w:hAnsi="Times New Roman" w:cs="Times New Roman"/>
          <w:b/>
          <w:bCs/>
        </w:rPr>
        <w:lastRenderedPageBreak/>
        <w:t>The Industrial Revolution and the Rise of Public Libraries</w:t>
      </w:r>
    </w:p>
    <w:p w14:paraId="739CDC6A" w14:textId="4F7173D7" w:rsidR="009F1CEF" w:rsidRDefault="009F1CEF" w:rsidP="009F1CEF">
      <w:pPr>
        <w:spacing w:line="480" w:lineRule="auto"/>
        <w:rPr>
          <w:rFonts w:ascii="Times New Roman" w:hAnsi="Times New Roman" w:cs="Times New Roman"/>
        </w:rPr>
      </w:pPr>
      <w:r>
        <w:rPr>
          <w:rFonts w:ascii="Times New Roman" w:hAnsi="Times New Roman" w:cs="Times New Roman"/>
        </w:rPr>
        <w:tab/>
        <w:t>During the 19</w:t>
      </w:r>
      <w:r w:rsidRPr="009B6CE3">
        <w:rPr>
          <w:rFonts w:ascii="Times New Roman" w:hAnsi="Times New Roman" w:cs="Times New Roman"/>
          <w:vertAlign w:val="superscript"/>
        </w:rPr>
        <w:t>th</w:t>
      </w:r>
      <w:r>
        <w:rPr>
          <w:rFonts w:ascii="Times New Roman" w:hAnsi="Times New Roman" w:cs="Times New Roman"/>
        </w:rPr>
        <w:t>-century, the United States experienced what has become popularly known as the Industrial Revolution—a period that was marked by mass-industrialization, urbanization, and immigration. Cities in the United States, bolstered by t</w:t>
      </w:r>
      <w:r w:rsidR="00C676E9">
        <w:rPr>
          <w:rFonts w:ascii="Times New Roman" w:hAnsi="Times New Roman" w:cs="Times New Roman"/>
        </w:rPr>
        <w:t>hese effects</w:t>
      </w:r>
      <w:r>
        <w:rPr>
          <w:rFonts w:ascii="Times New Roman" w:hAnsi="Times New Roman" w:cs="Times New Roman"/>
        </w:rPr>
        <w:t>, experienced massive amounts of growth in size</w:t>
      </w:r>
      <w:r w:rsidR="008602DC">
        <w:rPr>
          <w:rFonts w:ascii="Times New Roman" w:hAnsi="Times New Roman" w:cs="Times New Roman"/>
        </w:rPr>
        <w:t xml:space="preserve">, wealth, </w:t>
      </w:r>
      <w:r>
        <w:rPr>
          <w:rFonts w:ascii="Times New Roman" w:hAnsi="Times New Roman" w:cs="Times New Roman"/>
        </w:rPr>
        <w:t xml:space="preserve">and population. Soon, these areas became hotbeds for social change, as the confluence of different peoples and ideas sprouted new ways of thinking and approaches to American life. Industrialization’s focus on progress lead to technological innovations that </w:t>
      </w:r>
      <w:r w:rsidR="000F3C6E">
        <w:rPr>
          <w:rFonts w:ascii="Times New Roman" w:hAnsi="Times New Roman" w:cs="Times New Roman"/>
        </w:rPr>
        <w:t xml:space="preserve">provided for the contexts from which the modern American book trade sprung from. </w:t>
      </w:r>
      <w:r>
        <w:rPr>
          <w:rFonts w:ascii="Times New Roman" w:hAnsi="Times New Roman" w:cs="Times New Roman"/>
        </w:rPr>
        <w:t>From this, came the rise of the public library movement—a social institution that has remained a part of American life to the current day.</w:t>
      </w:r>
      <w:r w:rsidR="00CF7F07">
        <w:rPr>
          <w:rFonts w:ascii="Times New Roman" w:hAnsi="Times New Roman" w:cs="Times New Roman"/>
        </w:rPr>
        <w:t xml:space="preserve"> </w:t>
      </w:r>
      <w:r w:rsidR="000F3C6E">
        <w:rPr>
          <w:rFonts w:ascii="Times New Roman" w:hAnsi="Times New Roman" w:cs="Times New Roman"/>
        </w:rPr>
        <w:t>Industrialization during the 19</w:t>
      </w:r>
      <w:r w:rsidR="000F3C6E" w:rsidRPr="000F3C6E">
        <w:rPr>
          <w:rFonts w:ascii="Times New Roman" w:hAnsi="Times New Roman" w:cs="Times New Roman"/>
          <w:vertAlign w:val="superscript"/>
        </w:rPr>
        <w:t>th</w:t>
      </w:r>
      <w:r w:rsidR="000F3C6E">
        <w:rPr>
          <w:rFonts w:ascii="Times New Roman" w:hAnsi="Times New Roman" w:cs="Times New Roman"/>
        </w:rPr>
        <w:t xml:space="preserve"> century both enabled and accelerated the growth of the public library movement by transforming society and communities, driving technological process, and expanding the book trade.</w:t>
      </w:r>
    </w:p>
    <w:p w14:paraId="52EE5779" w14:textId="5AD060D9" w:rsidR="00E31C70" w:rsidRDefault="000F3C6E" w:rsidP="009F1CEF">
      <w:pPr>
        <w:spacing w:line="480" w:lineRule="auto"/>
        <w:rPr>
          <w:rFonts w:ascii="Times New Roman" w:hAnsi="Times New Roman" w:cs="Times New Roman"/>
        </w:rPr>
      </w:pPr>
      <w:r>
        <w:rPr>
          <w:rFonts w:ascii="Times New Roman" w:hAnsi="Times New Roman" w:cs="Times New Roman"/>
        </w:rPr>
        <w:tab/>
        <w:t>Researching the history of libraries and the book trade requires an understanding of the history of the book</w:t>
      </w:r>
      <w:r w:rsidR="00B051DC">
        <w:rPr>
          <w:rFonts w:ascii="Times New Roman" w:hAnsi="Times New Roman" w:cs="Times New Roman"/>
        </w:rPr>
        <w:t xml:space="preserve"> and </w:t>
      </w:r>
      <w:r>
        <w:rPr>
          <w:rFonts w:ascii="Times New Roman" w:hAnsi="Times New Roman" w:cs="Times New Roman"/>
        </w:rPr>
        <w:t xml:space="preserve">its study. Book historian D. Hall (1996) explores in his book </w:t>
      </w:r>
      <w:r>
        <w:rPr>
          <w:rFonts w:ascii="Times New Roman" w:hAnsi="Times New Roman" w:cs="Times New Roman"/>
          <w:i/>
          <w:iCs/>
        </w:rPr>
        <w:t xml:space="preserve">Cultures of Print </w:t>
      </w:r>
      <w:r>
        <w:rPr>
          <w:rFonts w:ascii="Times New Roman" w:hAnsi="Times New Roman" w:cs="Times New Roman"/>
        </w:rPr>
        <w:t>the differences between the history of the book from the history of printing. He suggests that the history of the book is an interdisciplinary study, requiring knowledge of various aspects of context within the book trade</w:t>
      </w:r>
      <w:r w:rsidR="001373A6">
        <w:rPr>
          <w:rFonts w:ascii="Times New Roman" w:hAnsi="Times New Roman" w:cs="Times New Roman"/>
        </w:rPr>
        <w:t xml:space="preserve">. </w:t>
      </w:r>
      <w:r>
        <w:rPr>
          <w:rFonts w:ascii="Times New Roman" w:hAnsi="Times New Roman" w:cs="Times New Roman"/>
        </w:rPr>
        <w:t xml:space="preserve">For example, Hall suggests that the study of the history </w:t>
      </w:r>
      <w:r w:rsidR="006E494A">
        <w:rPr>
          <w:rFonts w:ascii="Times New Roman" w:hAnsi="Times New Roman" w:cs="Times New Roman"/>
        </w:rPr>
        <w:t>of</w:t>
      </w:r>
      <w:r>
        <w:rPr>
          <w:rFonts w:ascii="Times New Roman" w:hAnsi="Times New Roman" w:cs="Times New Roman"/>
        </w:rPr>
        <w:t xml:space="preserve"> the book concerns itself with the social history of readers and reading, with popular or low culture, </w:t>
      </w:r>
      <w:r w:rsidR="00DF62E6">
        <w:rPr>
          <w:rFonts w:ascii="Times New Roman" w:hAnsi="Times New Roman" w:cs="Times New Roman"/>
        </w:rPr>
        <w:t xml:space="preserve">and </w:t>
      </w:r>
      <w:r>
        <w:rPr>
          <w:rFonts w:ascii="Times New Roman" w:hAnsi="Times New Roman" w:cs="Times New Roman"/>
        </w:rPr>
        <w:t>with the history of texts or bibliographies</w:t>
      </w:r>
      <w:r w:rsidR="001373A6">
        <w:rPr>
          <w:rFonts w:ascii="Times New Roman" w:hAnsi="Times New Roman" w:cs="Times New Roman"/>
        </w:rPr>
        <w:t xml:space="preserve"> (pp. 29-30). </w:t>
      </w:r>
      <w:r>
        <w:rPr>
          <w:rFonts w:ascii="Times New Roman" w:hAnsi="Times New Roman" w:cs="Times New Roman"/>
        </w:rPr>
        <w:t xml:space="preserve">In this way, the history of the book combines </w:t>
      </w:r>
      <w:r w:rsidR="00DF62E6">
        <w:rPr>
          <w:rFonts w:ascii="Times New Roman" w:hAnsi="Times New Roman" w:cs="Times New Roman"/>
        </w:rPr>
        <w:t>various modes of study to illuminate dynamic social processes</w:t>
      </w:r>
      <w:r w:rsidR="001373A6">
        <w:rPr>
          <w:rFonts w:ascii="Times New Roman" w:hAnsi="Times New Roman" w:cs="Times New Roman"/>
        </w:rPr>
        <w:t>. Studying the history of the book in</w:t>
      </w:r>
      <w:r w:rsidR="00C676E9">
        <w:rPr>
          <w:rFonts w:ascii="Times New Roman" w:hAnsi="Times New Roman" w:cs="Times New Roman"/>
        </w:rPr>
        <w:t>cludes</w:t>
      </w:r>
      <w:r w:rsidR="001373A6">
        <w:rPr>
          <w:rFonts w:ascii="Times New Roman" w:hAnsi="Times New Roman" w:cs="Times New Roman"/>
        </w:rPr>
        <w:t xml:space="preserve"> studying the history of the library—libraries increase accessibility and shape and are shaped by the reading culture of a community. Through this paper, the history of the book will be examined to answer </w:t>
      </w:r>
      <w:r w:rsidR="004D011F">
        <w:rPr>
          <w:rFonts w:ascii="Times New Roman" w:hAnsi="Times New Roman" w:cs="Times New Roman"/>
        </w:rPr>
        <w:t xml:space="preserve">research questions on </w:t>
      </w:r>
      <w:r w:rsidR="001373A6">
        <w:rPr>
          <w:rFonts w:ascii="Times New Roman" w:hAnsi="Times New Roman" w:cs="Times New Roman"/>
        </w:rPr>
        <w:t xml:space="preserve">how technological developments in </w:t>
      </w:r>
      <w:r w:rsidR="001373A6">
        <w:rPr>
          <w:rFonts w:ascii="Times New Roman" w:hAnsi="Times New Roman" w:cs="Times New Roman"/>
        </w:rPr>
        <w:lastRenderedPageBreak/>
        <w:t>printing impacted the growth of the book trade and the development of the library, and how the social changes resulting from the Industrial Revolution effected United States library development in the 19</w:t>
      </w:r>
      <w:r w:rsidR="001373A6" w:rsidRPr="001373A6">
        <w:rPr>
          <w:rFonts w:ascii="Times New Roman" w:hAnsi="Times New Roman" w:cs="Times New Roman"/>
          <w:vertAlign w:val="superscript"/>
        </w:rPr>
        <w:t>th</w:t>
      </w:r>
      <w:r w:rsidR="001373A6">
        <w:rPr>
          <w:rFonts w:ascii="Times New Roman" w:hAnsi="Times New Roman" w:cs="Times New Roman"/>
        </w:rPr>
        <w:t xml:space="preserve"> century.</w:t>
      </w:r>
    </w:p>
    <w:p w14:paraId="786EE40D" w14:textId="77777777" w:rsidR="00B03B98" w:rsidRDefault="00C676E9" w:rsidP="009F1CEF">
      <w:pPr>
        <w:spacing w:line="480" w:lineRule="auto"/>
        <w:rPr>
          <w:rFonts w:ascii="Times New Roman" w:hAnsi="Times New Roman" w:cs="Times New Roman"/>
        </w:rPr>
      </w:pPr>
      <w:r>
        <w:rPr>
          <w:rFonts w:ascii="Times New Roman" w:hAnsi="Times New Roman" w:cs="Times New Roman"/>
        </w:rPr>
        <w:tab/>
        <w:t xml:space="preserve">Before examining the social developments during this time, it is important to look at technological developments in printing. The growth of libraries and </w:t>
      </w:r>
      <w:r w:rsidR="00347769">
        <w:rPr>
          <w:rFonts w:ascii="Times New Roman" w:hAnsi="Times New Roman" w:cs="Times New Roman"/>
        </w:rPr>
        <w:t>the dissemination of texts is largely underpinned by the constant innovations and developments that printing houses were making during the 19</w:t>
      </w:r>
      <w:r w:rsidR="00347769" w:rsidRPr="00347769">
        <w:rPr>
          <w:rFonts w:ascii="Times New Roman" w:hAnsi="Times New Roman" w:cs="Times New Roman"/>
          <w:vertAlign w:val="superscript"/>
        </w:rPr>
        <w:t>th</w:t>
      </w:r>
      <w:r w:rsidR="00347769">
        <w:rPr>
          <w:rFonts w:ascii="Times New Roman" w:hAnsi="Times New Roman" w:cs="Times New Roman"/>
        </w:rPr>
        <w:t xml:space="preserve"> century. The printing press had remained largely consistent in form and essence for “nearly four hundred years” from its inception in 15</w:t>
      </w:r>
      <w:r w:rsidR="00347769" w:rsidRPr="00347769">
        <w:rPr>
          <w:rFonts w:ascii="Times New Roman" w:hAnsi="Times New Roman" w:cs="Times New Roman"/>
          <w:vertAlign w:val="superscript"/>
        </w:rPr>
        <w:t>th</w:t>
      </w:r>
      <w:r w:rsidR="00347769">
        <w:rPr>
          <w:rFonts w:ascii="Times New Roman" w:hAnsi="Times New Roman" w:cs="Times New Roman"/>
        </w:rPr>
        <w:t xml:space="preserve"> century Germany (Moran, 1971, p. 281). The 19</w:t>
      </w:r>
      <w:r w:rsidR="00347769" w:rsidRPr="00347769">
        <w:rPr>
          <w:rFonts w:ascii="Times New Roman" w:hAnsi="Times New Roman" w:cs="Times New Roman"/>
          <w:vertAlign w:val="superscript"/>
        </w:rPr>
        <w:t>th</w:t>
      </w:r>
      <w:r w:rsidR="00347769">
        <w:rPr>
          <w:rFonts w:ascii="Times New Roman" w:hAnsi="Times New Roman" w:cs="Times New Roman"/>
        </w:rPr>
        <w:t xml:space="preserve"> century saw a series of innovations and experimentations that aimed to increase the press’s duplicating capabilities. In </w:t>
      </w:r>
      <w:r w:rsidR="001E7E0B">
        <w:rPr>
          <w:rFonts w:ascii="Times New Roman" w:hAnsi="Times New Roman" w:cs="Times New Roman"/>
        </w:rPr>
        <w:t xml:space="preserve">his </w:t>
      </w:r>
      <w:r w:rsidR="0034421F">
        <w:rPr>
          <w:rFonts w:ascii="Times New Roman" w:hAnsi="Times New Roman" w:cs="Times New Roman"/>
        </w:rPr>
        <w:t>highly regarded</w:t>
      </w:r>
      <w:r w:rsidR="00347769">
        <w:rPr>
          <w:rFonts w:ascii="Times New Roman" w:hAnsi="Times New Roman" w:cs="Times New Roman"/>
        </w:rPr>
        <w:t xml:space="preserve"> text </w:t>
      </w:r>
      <w:r w:rsidR="00347769">
        <w:rPr>
          <w:rFonts w:ascii="Times New Roman" w:hAnsi="Times New Roman" w:cs="Times New Roman"/>
          <w:i/>
          <w:iCs/>
        </w:rPr>
        <w:t>A New Introduction to Bibliography</w:t>
      </w:r>
      <w:r w:rsidR="00347769">
        <w:rPr>
          <w:rFonts w:ascii="Times New Roman" w:hAnsi="Times New Roman" w:cs="Times New Roman"/>
        </w:rPr>
        <w:t xml:space="preserve"> (</w:t>
      </w:r>
      <w:r w:rsidR="00490DC5">
        <w:rPr>
          <w:rFonts w:ascii="Times New Roman" w:hAnsi="Times New Roman" w:cs="Times New Roman"/>
        </w:rPr>
        <w:t>1972</w:t>
      </w:r>
      <w:r w:rsidR="00347769">
        <w:rPr>
          <w:rFonts w:ascii="Times New Roman" w:hAnsi="Times New Roman" w:cs="Times New Roman"/>
        </w:rPr>
        <w:t>), bibliographer Philip Gaskell examines the minute technical advances made on printing technology that took printing from</w:t>
      </w:r>
      <w:r w:rsidR="00490DC5">
        <w:rPr>
          <w:rFonts w:ascii="Times New Roman" w:hAnsi="Times New Roman" w:cs="Times New Roman"/>
        </w:rPr>
        <w:t xml:space="preserve"> “the two-press shop of craft days” to a factory filled with hundreds of workers and dozens of machines (p. 188). </w:t>
      </w:r>
      <w:r w:rsidR="00347769">
        <w:rPr>
          <w:rFonts w:ascii="Times New Roman" w:hAnsi="Times New Roman" w:cs="Times New Roman"/>
        </w:rPr>
        <w:t xml:space="preserve"> </w:t>
      </w:r>
      <w:r w:rsidR="0034421F">
        <w:rPr>
          <w:rFonts w:ascii="Times New Roman" w:hAnsi="Times New Roman" w:cs="Times New Roman"/>
        </w:rPr>
        <w:t>Gaskell suggests that, while the essential matter of printing (“inking the face of the metal, pressing sheets of paper on to it, and then folding and sewing them to make the sections of the books”) remained the same, three major</w:t>
      </w:r>
      <w:r w:rsidR="001E7E0B">
        <w:rPr>
          <w:rFonts w:ascii="Times New Roman" w:hAnsi="Times New Roman" w:cs="Times New Roman"/>
        </w:rPr>
        <w:t xml:space="preserve"> changes to the form were made during the “Machine-Press Period”: the addition of steam power, cloth bindings, and machine-made paper (p. 188). </w:t>
      </w:r>
    </w:p>
    <w:p w14:paraId="0BC1C56A" w14:textId="036F1DF5" w:rsidR="003A4138" w:rsidRDefault="001E7E0B" w:rsidP="003A4138">
      <w:pPr>
        <w:spacing w:line="480" w:lineRule="auto"/>
        <w:ind w:firstLine="720"/>
        <w:rPr>
          <w:rFonts w:ascii="Times New Roman" w:hAnsi="Times New Roman" w:cs="Times New Roman"/>
        </w:rPr>
      </w:pPr>
      <w:r>
        <w:rPr>
          <w:rFonts w:ascii="Times New Roman" w:hAnsi="Times New Roman" w:cs="Times New Roman"/>
        </w:rPr>
        <w:t>Steam-power greatly increased the productivity of machines, and cloth bindings made binding less expensive, easier to reproduce, and provided fertile ground for artistic coverings.</w:t>
      </w:r>
      <w:r w:rsidR="00B03B98">
        <w:rPr>
          <w:rFonts w:ascii="Times New Roman" w:hAnsi="Times New Roman" w:cs="Times New Roman"/>
        </w:rPr>
        <w:t xml:space="preserve"> Bindings were finally able to be “prefabricated” in bulk</w:t>
      </w:r>
      <w:r w:rsidR="00356F2D">
        <w:rPr>
          <w:rFonts w:ascii="Times New Roman" w:hAnsi="Times New Roman" w:cs="Times New Roman"/>
        </w:rPr>
        <w:t xml:space="preserve"> as case bindings</w:t>
      </w:r>
      <w:r w:rsidR="00B03B98">
        <w:rPr>
          <w:rFonts w:ascii="Times New Roman" w:hAnsi="Times New Roman" w:cs="Times New Roman"/>
        </w:rPr>
        <w:t>, making the binding process of book production much easier</w:t>
      </w:r>
      <w:r w:rsidR="00356F2D">
        <w:rPr>
          <w:rFonts w:ascii="Times New Roman" w:hAnsi="Times New Roman" w:cs="Times New Roman"/>
        </w:rPr>
        <w:t xml:space="preserve"> </w:t>
      </w:r>
      <w:r w:rsidR="00DC2DBD">
        <w:rPr>
          <w:rFonts w:ascii="Times New Roman" w:hAnsi="Times New Roman" w:cs="Times New Roman"/>
        </w:rPr>
        <w:t xml:space="preserve">and less expensive </w:t>
      </w:r>
      <w:r w:rsidR="00356F2D">
        <w:rPr>
          <w:rFonts w:ascii="Times New Roman" w:hAnsi="Times New Roman" w:cs="Times New Roman"/>
        </w:rPr>
        <w:t>(Dahab, 2024)</w:t>
      </w:r>
      <w:r w:rsidR="00B03B98">
        <w:rPr>
          <w:rFonts w:ascii="Times New Roman" w:hAnsi="Times New Roman" w:cs="Times New Roman"/>
        </w:rPr>
        <w:t>. Publishers were able to use the mechanized binding process and new techniques to i</w:t>
      </w:r>
      <w:r w:rsidR="00DC2DBD">
        <w:rPr>
          <w:rFonts w:ascii="Times New Roman" w:hAnsi="Times New Roman" w:cs="Times New Roman"/>
        </w:rPr>
        <w:t>nvite individual artistry back into the process—styles and trends of these 19</w:t>
      </w:r>
      <w:r w:rsidR="00DC2DBD" w:rsidRPr="00DC2DBD">
        <w:rPr>
          <w:rFonts w:ascii="Times New Roman" w:hAnsi="Times New Roman" w:cs="Times New Roman"/>
          <w:vertAlign w:val="superscript"/>
        </w:rPr>
        <w:t>th</w:t>
      </w:r>
      <w:r w:rsidR="00DC2DBD">
        <w:rPr>
          <w:rFonts w:ascii="Times New Roman" w:hAnsi="Times New Roman" w:cs="Times New Roman"/>
        </w:rPr>
        <w:t xml:space="preserve"> century bindings reveal much about the concerns of </w:t>
      </w:r>
      <w:r w:rsidR="00DC2DBD">
        <w:rPr>
          <w:rFonts w:ascii="Times New Roman" w:hAnsi="Times New Roman" w:cs="Times New Roman"/>
        </w:rPr>
        <w:lastRenderedPageBreak/>
        <w:t xml:space="preserve">publishers and their readers at the time (Butler, 2010, p. 27). </w:t>
      </w:r>
      <w:r w:rsidR="00B03B98">
        <w:rPr>
          <w:rFonts w:ascii="Times New Roman" w:hAnsi="Times New Roman" w:cs="Times New Roman"/>
        </w:rPr>
        <w:t xml:space="preserve"> </w:t>
      </w:r>
      <w:r>
        <w:rPr>
          <w:rFonts w:ascii="Times New Roman" w:hAnsi="Times New Roman" w:cs="Times New Roman"/>
        </w:rPr>
        <w:t xml:space="preserve">Machine-made paper also greatly </w:t>
      </w:r>
      <w:r w:rsidR="0056437A">
        <w:rPr>
          <w:rFonts w:ascii="Times New Roman" w:hAnsi="Times New Roman" w:cs="Times New Roman"/>
        </w:rPr>
        <w:t>increased the capability of print shops. Papermaking by hand was hard labor that required lots of material, and papermakers often struggled to keep up with demand (</w:t>
      </w:r>
      <w:proofErr w:type="spellStart"/>
      <w:r w:rsidR="0056437A">
        <w:rPr>
          <w:rFonts w:ascii="Times New Roman" w:hAnsi="Times New Roman" w:cs="Times New Roman"/>
        </w:rPr>
        <w:t>Kurlansky</w:t>
      </w:r>
      <w:proofErr w:type="spellEnd"/>
      <w:r w:rsidR="0056437A">
        <w:rPr>
          <w:rFonts w:ascii="Times New Roman" w:hAnsi="Times New Roman" w:cs="Times New Roman"/>
        </w:rPr>
        <w:t xml:space="preserve">, 2016, pp. 229-230). The introduction of the Fourdrinier paper-making machine in France </w:t>
      </w:r>
      <w:r w:rsidR="00DB3FD1">
        <w:rPr>
          <w:rFonts w:ascii="Times New Roman" w:hAnsi="Times New Roman" w:cs="Times New Roman"/>
        </w:rPr>
        <w:t xml:space="preserve">in 1801 </w:t>
      </w:r>
      <w:r w:rsidR="0056437A">
        <w:rPr>
          <w:rFonts w:ascii="Times New Roman" w:hAnsi="Times New Roman" w:cs="Times New Roman"/>
        </w:rPr>
        <w:t xml:space="preserve">introduced a less labor-intensive, </w:t>
      </w:r>
      <w:r w:rsidR="00B03B98">
        <w:rPr>
          <w:rFonts w:ascii="Times New Roman" w:hAnsi="Times New Roman" w:cs="Times New Roman"/>
        </w:rPr>
        <w:t>less expensive, and more consistent</w:t>
      </w:r>
      <w:r w:rsidR="0056437A">
        <w:rPr>
          <w:rFonts w:ascii="Times New Roman" w:hAnsi="Times New Roman" w:cs="Times New Roman"/>
        </w:rPr>
        <w:t xml:space="preserve"> means of paper</w:t>
      </w:r>
      <w:r w:rsidR="00B03B98">
        <w:rPr>
          <w:rFonts w:ascii="Times New Roman" w:hAnsi="Times New Roman" w:cs="Times New Roman"/>
        </w:rPr>
        <w:t xml:space="preserve"> </w:t>
      </w:r>
      <w:r w:rsidR="0056437A">
        <w:rPr>
          <w:rFonts w:ascii="Times New Roman" w:hAnsi="Times New Roman" w:cs="Times New Roman"/>
        </w:rPr>
        <w:t>production (Gaskell, 1972, p. 216).</w:t>
      </w:r>
      <w:r w:rsidR="00DB3FD1">
        <w:rPr>
          <w:rFonts w:ascii="Times New Roman" w:hAnsi="Times New Roman" w:cs="Times New Roman"/>
        </w:rPr>
        <w:t xml:space="preserve"> This machine made its way to the USA in 1827.</w:t>
      </w:r>
      <w:r w:rsidR="003A4138">
        <w:rPr>
          <w:rFonts w:ascii="Times New Roman" w:hAnsi="Times New Roman" w:cs="Times New Roman"/>
        </w:rPr>
        <w:t xml:space="preserve"> By the 1850s, major American publisher Harper &amp; Brothers (now known globally as HarperCollins) consolidated different stages of book manufacture within one factory (Casper &amp; Rubin, 2010).</w:t>
      </w:r>
    </w:p>
    <w:p w14:paraId="2A91C60C" w14:textId="6139A630" w:rsidR="00DC2DBD" w:rsidRDefault="00DC2DBD" w:rsidP="00B03B98">
      <w:pPr>
        <w:spacing w:line="480" w:lineRule="auto"/>
        <w:ind w:firstLine="720"/>
        <w:rPr>
          <w:rFonts w:ascii="Times New Roman" w:hAnsi="Times New Roman" w:cs="Times New Roman"/>
        </w:rPr>
      </w:pPr>
      <w:r>
        <w:rPr>
          <w:rFonts w:ascii="Times New Roman" w:hAnsi="Times New Roman" w:cs="Times New Roman"/>
        </w:rPr>
        <w:t>Other technological developments in the world of printing helped to grow the book industry and meet rising levels of demand in the United States. Technologies like stereotyping and electrotyping made duplication and the sharing of prints easier than ever. Stereotype plates (which, unlike the hand-set days of movable type) made full plates with permanent type that could be reused continuously with little wear to produce new printed pages. Electrotyping was a</w:t>
      </w:r>
      <w:r w:rsidR="00D30003">
        <w:rPr>
          <w:rFonts w:ascii="Times New Roman" w:hAnsi="Times New Roman" w:cs="Times New Roman"/>
        </w:rPr>
        <w:t>nother technology that made derivative plates from the ster</w:t>
      </w:r>
      <w:r w:rsidR="00832F4A">
        <w:rPr>
          <w:rFonts w:ascii="Times New Roman" w:hAnsi="Times New Roman" w:cs="Times New Roman"/>
        </w:rPr>
        <w:t>e</w:t>
      </w:r>
      <w:r w:rsidR="00D30003">
        <w:rPr>
          <w:rFonts w:ascii="Times New Roman" w:hAnsi="Times New Roman" w:cs="Times New Roman"/>
        </w:rPr>
        <w:t xml:space="preserve">otype plate via galvanism, or “the electro-deposition of metal on to a </w:t>
      </w:r>
      <w:proofErr w:type="spellStart"/>
      <w:r w:rsidR="00D30003">
        <w:rPr>
          <w:rFonts w:ascii="Times New Roman" w:hAnsi="Times New Roman" w:cs="Times New Roman"/>
        </w:rPr>
        <w:t>mould</w:t>
      </w:r>
      <w:proofErr w:type="spellEnd"/>
      <w:r w:rsidR="00D30003">
        <w:rPr>
          <w:rFonts w:ascii="Times New Roman" w:hAnsi="Times New Roman" w:cs="Times New Roman"/>
        </w:rPr>
        <w:t xml:space="preserve"> in order to make a printing surface” (Gaskell, 1972, p. 206). Makala, in his 2024 book </w:t>
      </w:r>
      <w:r w:rsidR="00D30003">
        <w:rPr>
          <w:rFonts w:ascii="Times New Roman" w:hAnsi="Times New Roman" w:cs="Times New Roman"/>
          <w:i/>
          <w:iCs/>
        </w:rPr>
        <w:t>Publishing Plates</w:t>
      </w:r>
      <w:r w:rsidR="00D30003">
        <w:rPr>
          <w:rFonts w:ascii="Times New Roman" w:hAnsi="Times New Roman" w:cs="Times New Roman"/>
        </w:rPr>
        <w:t xml:space="preserve">, examines how these technologies helped to </w:t>
      </w:r>
      <w:r w:rsidR="00AC7C67">
        <w:rPr>
          <w:rFonts w:ascii="Times New Roman" w:hAnsi="Times New Roman" w:cs="Times New Roman"/>
        </w:rPr>
        <w:t>unify t</w:t>
      </w:r>
      <w:r w:rsidR="00D30003">
        <w:rPr>
          <w:rFonts w:ascii="Times New Roman" w:hAnsi="Times New Roman" w:cs="Times New Roman"/>
        </w:rPr>
        <w:t>he fledgling American book and publishing industry at the time.</w:t>
      </w:r>
      <w:r w:rsidR="00AC7C67">
        <w:rPr>
          <w:rFonts w:ascii="Times New Roman" w:hAnsi="Times New Roman" w:cs="Times New Roman"/>
        </w:rPr>
        <w:t xml:space="preserve"> In the early 19</w:t>
      </w:r>
      <w:r w:rsidR="00AC7C67" w:rsidRPr="00AC7C67">
        <w:rPr>
          <w:rFonts w:ascii="Times New Roman" w:hAnsi="Times New Roman" w:cs="Times New Roman"/>
          <w:vertAlign w:val="superscript"/>
        </w:rPr>
        <w:t>th</w:t>
      </w:r>
      <w:r w:rsidR="00AC7C67">
        <w:rPr>
          <w:rFonts w:ascii="Times New Roman" w:hAnsi="Times New Roman" w:cs="Times New Roman"/>
        </w:rPr>
        <w:t xml:space="preserve"> century, printers began to develop a “national sense” and were interested in growing their production through these new technologies (pp. 102-103). Book fairs and trade sales, modeled after the </w:t>
      </w:r>
      <w:r w:rsidR="00B65A51">
        <w:rPr>
          <w:rFonts w:ascii="Times New Roman" w:hAnsi="Times New Roman" w:cs="Times New Roman"/>
        </w:rPr>
        <w:t xml:space="preserve">Frankfurt book fair, looked to connect publishers and booksellers across the country, to regulate book prices nationally, and to discourage the import of foreign titles that were available as reprints through domestic print shop (p. 106). For much of the United States’ early printing history, books imported from Britain and Europe represented a massive percentage of what was </w:t>
      </w:r>
      <w:r w:rsidR="00B65A51">
        <w:rPr>
          <w:rFonts w:ascii="Times New Roman" w:hAnsi="Times New Roman" w:cs="Times New Roman"/>
        </w:rPr>
        <w:lastRenderedPageBreak/>
        <w:t>available in the country (Casper &amp; Rubin, 2010). At these trade sales, the reselling of stereotype plates from printer to printer became some of the first transactions between publishers and represented an exchange in the rights of the material the plates held. Eventually these trade sales culminated in the formation of the New York Book-Publishers Association—the first multi-publisher organization that attempted to address fair trade by organizing their own trade sales. This organization was succeeded by the American Book Trade Association in 1855, which generally succeeded in providing fair and controlled methods of operation that major publishers agreed to (Makala, 2024, p. 124). Trade sales connected publishers directly to booksellers, and stereotype sales worked down the market to bolster secondhand sellers and smaller publishers.</w:t>
      </w:r>
    </w:p>
    <w:p w14:paraId="12E1E315" w14:textId="73FB19B2" w:rsidR="003A4138" w:rsidRDefault="00C95822" w:rsidP="00C95822">
      <w:pPr>
        <w:spacing w:line="480" w:lineRule="auto"/>
        <w:ind w:firstLine="720"/>
        <w:rPr>
          <w:rFonts w:ascii="Times New Roman" w:hAnsi="Times New Roman" w:cs="Times New Roman"/>
        </w:rPr>
      </w:pPr>
      <w:r>
        <w:rPr>
          <w:rFonts w:ascii="Times New Roman" w:hAnsi="Times New Roman" w:cs="Times New Roman"/>
        </w:rPr>
        <w:t xml:space="preserve">The American Book Trade Association represented just one of many national coordinating practices </w:t>
      </w:r>
      <w:r w:rsidR="005E511F">
        <w:rPr>
          <w:rFonts w:ascii="Times New Roman" w:hAnsi="Times New Roman" w:cs="Times New Roman"/>
        </w:rPr>
        <w:t>to be adopted during the 19</w:t>
      </w:r>
      <w:r w:rsidR="005E511F" w:rsidRPr="005E511F">
        <w:rPr>
          <w:rFonts w:ascii="Times New Roman" w:hAnsi="Times New Roman" w:cs="Times New Roman"/>
          <w:vertAlign w:val="superscript"/>
        </w:rPr>
        <w:t>th</w:t>
      </w:r>
      <w:r w:rsidR="005E511F">
        <w:rPr>
          <w:rFonts w:ascii="Times New Roman" w:hAnsi="Times New Roman" w:cs="Times New Roman"/>
        </w:rPr>
        <w:t xml:space="preserve"> century</w:t>
      </w:r>
      <w:r>
        <w:rPr>
          <w:rFonts w:ascii="Times New Roman" w:hAnsi="Times New Roman" w:cs="Times New Roman"/>
        </w:rPr>
        <w:t>. To distribute and advertise their wares, American publishers developed networks to share news (publisher magaz</w:t>
      </w:r>
      <w:r w:rsidR="005E511F">
        <w:rPr>
          <w:rFonts w:ascii="Times New Roman" w:hAnsi="Times New Roman" w:cs="Times New Roman"/>
        </w:rPr>
        <w:t>i</w:t>
      </w:r>
      <w:r>
        <w:rPr>
          <w:rFonts w:ascii="Times New Roman" w:hAnsi="Times New Roman" w:cs="Times New Roman"/>
        </w:rPr>
        <w:t>n</w:t>
      </w:r>
      <w:r w:rsidR="005E511F">
        <w:rPr>
          <w:rFonts w:ascii="Times New Roman" w:hAnsi="Times New Roman" w:cs="Times New Roman"/>
        </w:rPr>
        <w:t>e</w:t>
      </w:r>
      <w:r>
        <w:rPr>
          <w:rFonts w:ascii="Times New Roman" w:hAnsi="Times New Roman" w:cs="Times New Roman"/>
        </w:rPr>
        <w:t xml:space="preserve">s), circulate materials (national modes of </w:t>
      </w:r>
      <w:r w:rsidR="005E511F">
        <w:rPr>
          <w:rFonts w:ascii="Times New Roman" w:hAnsi="Times New Roman" w:cs="Times New Roman"/>
        </w:rPr>
        <w:t>distribution like travelling agents, bookshops, and subscription models), and exchange credit. An unofficial rule was adopted by most publishers: the “courtesy of the trade”, which suggested that materials in the public domain already being printed by another publisher were not to be printed by anyone else (Casper &amp; Rubin, 2010). These innovations all helped to create a cohesive, national book trade that enhanced the growth of readership, facilitated the spread of ideas, and provided the foundation necessary for the expansion of both private and public libraries across the United States.</w:t>
      </w:r>
    </w:p>
    <w:p w14:paraId="4680A990" w14:textId="40AB4EFD" w:rsidR="003A4138" w:rsidRDefault="003A4138" w:rsidP="00B03B98">
      <w:pPr>
        <w:spacing w:line="480" w:lineRule="auto"/>
        <w:ind w:firstLine="720"/>
        <w:rPr>
          <w:rFonts w:ascii="Times New Roman" w:hAnsi="Times New Roman" w:cs="Times New Roman"/>
        </w:rPr>
      </w:pPr>
      <w:r>
        <w:rPr>
          <w:rFonts w:ascii="Times New Roman" w:hAnsi="Times New Roman" w:cs="Times New Roman"/>
        </w:rPr>
        <w:t>Mass production</w:t>
      </w:r>
      <w:r w:rsidR="00C23EF1">
        <w:rPr>
          <w:rFonts w:ascii="Times New Roman" w:hAnsi="Times New Roman" w:cs="Times New Roman"/>
        </w:rPr>
        <w:t>, the evolution of printing technologies, and the growing national book trade can all be seen as part of what historian Peter Burke (2016) describes as a “print revolution”</w:t>
      </w:r>
      <w:r w:rsidR="001623AA">
        <w:rPr>
          <w:rFonts w:ascii="Times New Roman" w:hAnsi="Times New Roman" w:cs="Times New Roman"/>
        </w:rPr>
        <w:t xml:space="preserve"> in his article “Three Print Revolutions”. Burke examines five consequences of innovations in printing technology:</w:t>
      </w:r>
    </w:p>
    <w:p w14:paraId="7518DE23" w14:textId="1B47F4BA" w:rsidR="001623AA" w:rsidRDefault="001623AA" w:rsidP="001623AA">
      <w:pPr>
        <w:pStyle w:val="ListParagraph"/>
        <w:numPr>
          <w:ilvl w:val="0"/>
          <w:numId w:val="1"/>
        </w:numPr>
        <w:spacing w:line="480" w:lineRule="auto"/>
        <w:rPr>
          <w:rFonts w:ascii="Times New Roman" w:hAnsi="Times New Roman" w:cs="Times New Roman"/>
        </w:rPr>
      </w:pPr>
      <w:r>
        <w:rPr>
          <w:rFonts w:ascii="Times New Roman" w:hAnsi="Times New Roman" w:cs="Times New Roman"/>
        </w:rPr>
        <w:lastRenderedPageBreak/>
        <w:t>Books become cheaper and more numerous</w:t>
      </w:r>
      <w:r w:rsidR="00A02FAA">
        <w:rPr>
          <w:rFonts w:ascii="Times New Roman" w:hAnsi="Times New Roman" w:cs="Times New Roman"/>
        </w:rPr>
        <w:t>.</w:t>
      </w:r>
    </w:p>
    <w:p w14:paraId="2A07FBAC" w14:textId="123367FC" w:rsidR="001623AA" w:rsidRDefault="001623AA" w:rsidP="001623A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“Insurance against the loss of knowledge”—More copies of a text </w:t>
      </w:r>
      <w:r w:rsidR="008C0A99">
        <w:rPr>
          <w:rFonts w:ascii="Times New Roman" w:hAnsi="Times New Roman" w:cs="Times New Roman"/>
        </w:rPr>
        <w:t>mean the</w:t>
      </w:r>
      <w:r>
        <w:rPr>
          <w:rFonts w:ascii="Times New Roman" w:hAnsi="Times New Roman" w:cs="Times New Roman"/>
        </w:rPr>
        <w:t xml:space="preserve"> information </w:t>
      </w:r>
      <w:r w:rsidR="008C0A99">
        <w:rPr>
          <w:rFonts w:ascii="Times New Roman" w:hAnsi="Times New Roman" w:cs="Times New Roman"/>
        </w:rPr>
        <w:t xml:space="preserve">is </w:t>
      </w:r>
      <w:r>
        <w:rPr>
          <w:rFonts w:ascii="Times New Roman" w:hAnsi="Times New Roman" w:cs="Times New Roman"/>
        </w:rPr>
        <w:t>less likely to disappear.</w:t>
      </w:r>
    </w:p>
    <w:p w14:paraId="399DBD6D" w14:textId="129AD58F" w:rsidR="001623AA" w:rsidRDefault="001623AA" w:rsidP="001623AA">
      <w:pPr>
        <w:pStyle w:val="ListParagraph"/>
        <w:numPr>
          <w:ilvl w:val="0"/>
          <w:numId w:val="1"/>
        </w:numPr>
        <w:spacing w:line="480" w:lineRule="auto"/>
        <w:rPr>
          <w:rFonts w:ascii="Times New Roman" w:hAnsi="Times New Roman" w:cs="Times New Roman"/>
        </w:rPr>
      </w:pPr>
      <w:r>
        <w:rPr>
          <w:rFonts w:ascii="Times New Roman" w:hAnsi="Times New Roman" w:cs="Times New Roman"/>
        </w:rPr>
        <w:t>Greater consistency is achieved across copies, leading to standardization across scientific disciplines.</w:t>
      </w:r>
    </w:p>
    <w:p w14:paraId="5F49699A" w14:textId="008745D6" w:rsidR="001623AA" w:rsidRDefault="001623AA" w:rsidP="001623A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The rise of </w:t>
      </w:r>
      <w:r w:rsidR="008C0A99">
        <w:rPr>
          <w:rFonts w:ascii="Times New Roman" w:hAnsi="Times New Roman" w:cs="Times New Roman"/>
        </w:rPr>
        <w:t>skepticism</w:t>
      </w:r>
      <w:r>
        <w:rPr>
          <w:rFonts w:ascii="Times New Roman" w:hAnsi="Times New Roman" w:cs="Times New Roman"/>
        </w:rPr>
        <w:t xml:space="preserve">, something Burke contends with </w:t>
      </w:r>
      <w:r w:rsidR="0007548C">
        <w:rPr>
          <w:rFonts w:ascii="Times New Roman" w:hAnsi="Times New Roman" w:cs="Times New Roman"/>
        </w:rPr>
        <w:t>because of</w:t>
      </w:r>
      <w:r w:rsidR="008C0A99">
        <w:rPr>
          <w:rFonts w:ascii="Times New Roman" w:hAnsi="Times New Roman" w:cs="Times New Roman"/>
        </w:rPr>
        <w:t xml:space="preserve"> “infobesity”- if conflicting sources of “information” are both available, readers may learn to distrust or be more skeptical overall.</w:t>
      </w:r>
    </w:p>
    <w:p w14:paraId="65335160" w14:textId="09836DA9" w:rsidR="008C0A99" w:rsidRDefault="008C0A99" w:rsidP="001623AA">
      <w:pPr>
        <w:pStyle w:val="ListParagraph"/>
        <w:numPr>
          <w:ilvl w:val="0"/>
          <w:numId w:val="1"/>
        </w:numPr>
        <w:spacing w:line="480" w:lineRule="auto"/>
        <w:rPr>
          <w:rFonts w:ascii="Times New Roman" w:hAnsi="Times New Roman" w:cs="Times New Roman"/>
        </w:rPr>
      </w:pPr>
      <w:r>
        <w:rPr>
          <w:rFonts w:ascii="Times New Roman" w:hAnsi="Times New Roman" w:cs="Times New Roman"/>
        </w:rPr>
        <w:t>Print leads to the construction of identity and communities, like the national “learned” community that formed around printed books in the language of academia, Latin, during the 16</w:t>
      </w:r>
      <w:r w:rsidRPr="008C0A99">
        <w:rPr>
          <w:rFonts w:ascii="Times New Roman" w:hAnsi="Times New Roman" w:cs="Times New Roman"/>
          <w:vertAlign w:val="superscript"/>
        </w:rPr>
        <w:t>th</w:t>
      </w:r>
      <w:r>
        <w:rPr>
          <w:rFonts w:ascii="Times New Roman" w:hAnsi="Times New Roman" w:cs="Times New Roman"/>
        </w:rPr>
        <w:t xml:space="preserve"> century (Burke, 2016, pp. 15-17).</w:t>
      </w:r>
    </w:p>
    <w:p w14:paraId="764506D3" w14:textId="1217DBCA" w:rsidR="00A02FAA" w:rsidRDefault="00A02FAA" w:rsidP="00A02FAA">
      <w:pPr>
        <w:spacing w:line="480" w:lineRule="auto"/>
        <w:rPr>
          <w:rFonts w:ascii="Times New Roman" w:hAnsi="Times New Roman" w:cs="Times New Roman"/>
        </w:rPr>
      </w:pPr>
      <w:r>
        <w:rPr>
          <w:rFonts w:ascii="Times New Roman" w:hAnsi="Times New Roman" w:cs="Times New Roman"/>
        </w:rPr>
        <w:t>These consequences of printing innovations are clearly visible in the 19</w:t>
      </w:r>
      <w:r w:rsidRPr="00A02FAA">
        <w:rPr>
          <w:rFonts w:ascii="Times New Roman" w:hAnsi="Times New Roman" w:cs="Times New Roman"/>
          <w:vertAlign w:val="superscript"/>
        </w:rPr>
        <w:t>th</w:t>
      </w:r>
      <w:r>
        <w:rPr>
          <w:rFonts w:ascii="Times New Roman" w:hAnsi="Times New Roman" w:cs="Times New Roman"/>
        </w:rPr>
        <w:t xml:space="preserve">-century American book trade, where mechanization and national distribution networks brought cheaper, more plentiful books to a rapidly expanding readership. The resulting standardization, preservation, and spread of texts nurtured the formation of new reading </w:t>
      </w:r>
      <w:r w:rsidR="00206D2F">
        <w:rPr>
          <w:rFonts w:ascii="Times New Roman" w:hAnsi="Times New Roman" w:cs="Times New Roman"/>
        </w:rPr>
        <w:t>communities and</w:t>
      </w:r>
      <w:r w:rsidR="00E33927">
        <w:rPr>
          <w:rFonts w:ascii="Times New Roman" w:hAnsi="Times New Roman" w:cs="Times New Roman"/>
        </w:rPr>
        <w:t xml:space="preserve"> can ultimately be seen in the rise of the public library movement</w:t>
      </w:r>
      <w:r>
        <w:rPr>
          <w:rFonts w:ascii="Times New Roman" w:hAnsi="Times New Roman" w:cs="Times New Roman"/>
        </w:rPr>
        <w:t>.</w:t>
      </w:r>
    </w:p>
    <w:p w14:paraId="171D2FA6" w14:textId="77777777" w:rsidR="00664C75" w:rsidRDefault="003B6C35" w:rsidP="003B6C35">
      <w:pPr>
        <w:spacing w:line="480" w:lineRule="auto"/>
        <w:ind w:firstLine="720"/>
        <w:rPr>
          <w:rFonts w:ascii="Times New Roman" w:hAnsi="Times New Roman" w:cs="Times New Roman"/>
        </w:rPr>
      </w:pPr>
      <w:r>
        <w:rPr>
          <w:rFonts w:ascii="Times New Roman" w:hAnsi="Times New Roman" w:cs="Times New Roman"/>
        </w:rPr>
        <w:t xml:space="preserve">In his article “The Sociological Beginnings of the Library Movement”, library science scholar Arnold K. Borden examined the social factors leading to the formation of public libraries in the United States between 1850 to 1890. Borden points to three factors providing for public library development: 1. The role of the federal government 2. Generosity of philanthropists and 3. An expanding middle class and rising working class with more free time and the ability to change local politics (pp. 278-280). The role of the federal government can be seen through the work of the Smithsonian Institute, the Bureau of Education, and other federal institutions that </w:t>
      </w:r>
      <w:r>
        <w:rPr>
          <w:rFonts w:ascii="Times New Roman" w:hAnsi="Times New Roman" w:cs="Times New Roman"/>
        </w:rPr>
        <w:lastRenderedPageBreak/>
        <w:t>provided access and distribution to public documents.</w:t>
      </w:r>
      <w:r w:rsidR="00664C75">
        <w:rPr>
          <w:rFonts w:ascii="Times New Roman" w:hAnsi="Times New Roman" w:cs="Times New Roman"/>
        </w:rPr>
        <w:t xml:space="preserve"> The rise of the working class and an expanding middle class can be seen as the result of the American Labor Movement. Borden states: </w:t>
      </w:r>
    </w:p>
    <w:p w14:paraId="60EFDE42" w14:textId="059CBFAA" w:rsidR="003B6C35" w:rsidRDefault="00664C75" w:rsidP="00664C75">
      <w:pPr>
        <w:spacing w:line="480" w:lineRule="auto"/>
        <w:ind w:left="720"/>
        <w:rPr>
          <w:rFonts w:ascii="Times New Roman" w:hAnsi="Times New Roman" w:cs="Times New Roman"/>
        </w:rPr>
      </w:pPr>
      <w:r>
        <w:rPr>
          <w:rFonts w:ascii="Times New Roman" w:hAnsi="Times New Roman" w:cs="Times New Roman"/>
        </w:rPr>
        <w:t xml:space="preserve">Attendant upon the increase of wealth resulting from the establishment of the factory system and the exploitation of the natural resources of the country was the increase of leisure demanded by labor. The creation of surplus wealth itself was </w:t>
      </w:r>
      <w:proofErr w:type="gramStart"/>
      <w:r>
        <w:rPr>
          <w:rFonts w:ascii="Times New Roman" w:hAnsi="Times New Roman" w:cs="Times New Roman"/>
        </w:rPr>
        <w:t>a necessary prerequisite</w:t>
      </w:r>
      <w:proofErr w:type="gramEnd"/>
      <w:r>
        <w:rPr>
          <w:rFonts w:ascii="Times New Roman" w:hAnsi="Times New Roman" w:cs="Times New Roman"/>
        </w:rPr>
        <w:t>… but it was not until the working classes demanded a greater share of their product that the use of leisure became a subject of importance</w:t>
      </w:r>
      <w:r w:rsidR="00E712F1">
        <w:rPr>
          <w:rFonts w:ascii="Times New Roman" w:hAnsi="Times New Roman" w:cs="Times New Roman"/>
        </w:rPr>
        <w:t>.</w:t>
      </w:r>
      <w:r>
        <w:rPr>
          <w:rFonts w:ascii="Times New Roman" w:hAnsi="Times New Roman" w:cs="Times New Roman"/>
        </w:rPr>
        <w:t xml:space="preserve"> (p. 281)</w:t>
      </w:r>
    </w:p>
    <w:p w14:paraId="78183574" w14:textId="1BB694AB" w:rsidR="00664C75" w:rsidRPr="00A02FAA" w:rsidRDefault="00664C75" w:rsidP="00664C75">
      <w:pPr>
        <w:spacing w:line="480" w:lineRule="auto"/>
        <w:rPr>
          <w:rFonts w:ascii="Times New Roman" w:hAnsi="Times New Roman" w:cs="Times New Roman"/>
        </w:rPr>
      </w:pPr>
      <w:r>
        <w:rPr>
          <w:rFonts w:ascii="Times New Roman" w:hAnsi="Times New Roman" w:cs="Times New Roman"/>
        </w:rPr>
        <w:t>The expansion of publishing industry throughout the 19</w:t>
      </w:r>
      <w:r w:rsidRPr="00832F4A">
        <w:rPr>
          <w:rFonts w:ascii="Times New Roman" w:hAnsi="Times New Roman" w:cs="Times New Roman"/>
          <w:vertAlign w:val="superscript"/>
        </w:rPr>
        <w:t>th</w:t>
      </w:r>
      <w:r>
        <w:rPr>
          <w:rFonts w:ascii="Times New Roman" w:hAnsi="Times New Roman" w:cs="Times New Roman"/>
        </w:rPr>
        <w:t xml:space="preserve"> century was in large part made possible by </w:t>
      </w:r>
      <w:r w:rsidR="005E3A27">
        <w:rPr>
          <w:rFonts w:ascii="Times New Roman" w:hAnsi="Times New Roman" w:cs="Times New Roman"/>
        </w:rPr>
        <w:t>this</w:t>
      </w:r>
      <w:r>
        <w:rPr>
          <w:rFonts w:ascii="Times New Roman" w:hAnsi="Times New Roman" w:cs="Times New Roman"/>
        </w:rPr>
        <w:t xml:space="preserve"> growing, wealthier readership.</w:t>
      </w:r>
    </w:p>
    <w:p w14:paraId="160425F3" w14:textId="697188BD" w:rsidR="00D340F3" w:rsidRDefault="001B1C17" w:rsidP="00832F4A">
      <w:pPr>
        <w:spacing w:line="480" w:lineRule="auto"/>
        <w:ind w:firstLine="720"/>
        <w:rPr>
          <w:rFonts w:ascii="Times New Roman" w:hAnsi="Times New Roman" w:cs="Times New Roman"/>
        </w:rPr>
      </w:pPr>
      <w:r>
        <w:rPr>
          <w:rFonts w:ascii="Times New Roman" w:hAnsi="Times New Roman" w:cs="Times New Roman"/>
        </w:rPr>
        <w:t xml:space="preserve">Urbanization led to a massive influx of immigrants looking for labor, and </w:t>
      </w:r>
      <w:r w:rsidR="00206D2F">
        <w:rPr>
          <w:rFonts w:ascii="Times New Roman" w:hAnsi="Times New Roman" w:cs="Times New Roman"/>
        </w:rPr>
        <w:t xml:space="preserve">Christian </w:t>
      </w:r>
      <w:r>
        <w:rPr>
          <w:rFonts w:ascii="Times New Roman" w:hAnsi="Times New Roman" w:cs="Times New Roman"/>
        </w:rPr>
        <w:t>American</w:t>
      </w:r>
      <w:r w:rsidR="006215E9">
        <w:rPr>
          <w:rFonts w:ascii="Times New Roman" w:hAnsi="Times New Roman" w:cs="Times New Roman"/>
        </w:rPr>
        <w:t xml:space="preserve">s looked </w:t>
      </w:r>
      <w:r>
        <w:rPr>
          <w:rFonts w:ascii="Times New Roman" w:hAnsi="Times New Roman" w:cs="Times New Roman"/>
        </w:rPr>
        <w:t>at the rapidly growing cities and their social instabilities as a call to action</w:t>
      </w:r>
      <w:r w:rsidR="00594BB2">
        <w:rPr>
          <w:rFonts w:ascii="Times New Roman" w:hAnsi="Times New Roman" w:cs="Times New Roman"/>
        </w:rPr>
        <w:t xml:space="preserve"> (Davis &amp; Tucker, 2016)</w:t>
      </w:r>
      <w:r w:rsidR="00E712F1">
        <w:rPr>
          <w:rFonts w:ascii="Times New Roman" w:hAnsi="Times New Roman" w:cs="Times New Roman"/>
        </w:rPr>
        <w:t>.</w:t>
      </w:r>
      <w:r w:rsidR="00D340F3">
        <w:rPr>
          <w:rFonts w:ascii="Times New Roman" w:hAnsi="Times New Roman" w:cs="Times New Roman"/>
        </w:rPr>
        <w:t xml:space="preserve"> </w:t>
      </w:r>
      <w:r>
        <w:rPr>
          <w:rFonts w:ascii="Times New Roman" w:hAnsi="Times New Roman" w:cs="Times New Roman"/>
        </w:rPr>
        <w:t>These missionaries</w:t>
      </w:r>
      <w:r w:rsidR="006215E9">
        <w:rPr>
          <w:rFonts w:ascii="Times New Roman" w:hAnsi="Times New Roman" w:cs="Times New Roman"/>
        </w:rPr>
        <w:t xml:space="preserve"> were among the first publishers to use the new cheap methods of mechanized mass production to create a mass-dissemination of bibles and other spiritual materials (Casper &amp; Rubin, 2010). </w:t>
      </w:r>
      <w:r w:rsidR="00C75B69">
        <w:rPr>
          <w:rFonts w:ascii="Times New Roman" w:hAnsi="Times New Roman" w:cs="Times New Roman"/>
        </w:rPr>
        <w:t xml:space="preserve">Some of the first American libraries also </w:t>
      </w:r>
      <w:r w:rsidR="00594BB2">
        <w:rPr>
          <w:rFonts w:ascii="Times New Roman" w:hAnsi="Times New Roman" w:cs="Times New Roman"/>
        </w:rPr>
        <w:t>sprung from these same religious motives</w:t>
      </w:r>
      <w:r w:rsidR="00D340F3">
        <w:rPr>
          <w:rFonts w:ascii="Times New Roman" w:hAnsi="Times New Roman" w:cs="Times New Roman"/>
        </w:rPr>
        <w:t xml:space="preserve">, as Christians formed mobile libraries and Sunday Schools with the intent of using ideological texts to engender middle class norms and a culture of order amongst the working class (Davis &amp; Tucker, 2016). These Sunday Schools with accompanying libraries were early forms of social libraries and </w:t>
      </w:r>
      <w:r w:rsidR="00F423A9">
        <w:rPr>
          <w:rFonts w:ascii="Times New Roman" w:hAnsi="Times New Roman" w:cs="Times New Roman"/>
        </w:rPr>
        <w:t>emblematic</w:t>
      </w:r>
      <w:r w:rsidR="00D340F3">
        <w:rPr>
          <w:rFonts w:ascii="Times New Roman" w:hAnsi="Times New Roman" w:cs="Times New Roman"/>
        </w:rPr>
        <w:t xml:space="preserve"> of the centuries’ many benevolent organizations. </w:t>
      </w:r>
    </w:p>
    <w:p w14:paraId="27681F8A" w14:textId="59B99C71" w:rsidR="003B6C35" w:rsidRDefault="00D340F3" w:rsidP="003B6C35">
      <w:pPr>
        <w:spacing w:line="480" w:lineRule="auto"/>
        <w:ind w:firstLine="720"/>
        <w:rPr>
          <w:rFonts w:ascii="Times New Roman" w:hAnsi="Times New Roman" w:cs="Times New Roman"/>
        </w:rPr>
      </w:pPr>
      <w:r>
        <w:rPr>
          <w:rFonts w:ascii="Times New Roman" w:hAnsi="Times New Roman" w:cs="Times New Roman"/>
        </w:rPr>
        <w:t xml:space="preserve">Social libraries, like the Christian libraries described above, are among the institutional precedents for later public libraries. According to </w:t>
      </w:r>
      <w:proofErr w:type="spellStart"/>
      <w:r>
        <w:rPr>
          <w:rFonts w:ascii="Times New Roman" w:hAnsi="Times New Roman" w:cs="Times New Roman"/>
        </w:rPr>
        <w:t>Kevane</w:t>
      </w:r>
      <w:proofErr w:type="spellEnd"/>
      <w:r>
        <w:rPr>
          <w:rFonts w:ascii="Times New Roman" w:hAnsi="Times New Roman" w:cs="Times New Roman"/>
        </w:rPr>
        <w:t xml:space="preserve"> and Sundstrom (2014), 3,296 social </w:t>
      </w:r>
      <w:r>
        <w:rPr>
          <w:rFonts w:ascii="Times New Roman" w:hAnsi="Times New Roman" w:cs="Times New Roman"/>
        </w:rPr>
        <w:lastRenderedPageBreak/>
        <w:t xml:space="preserve">libraries were identified as having been in existence at some point in time in the United States before 1876, and many of them ultimately became public libraries as control of the collection was turned over from private organization to town governments (p. 126). These social libraries laid the groundwork to later state-supported public libraries. As </w:t>
      </w:r>
      <w:proofErr w:type="spellStart"/>
      <w:r>
        <w:rPr>
          <w:rFonts w:ascii="Times New Roman" w:hAnsi="Times New Roman" w:cs="Times New Roman"/>
        </w:rPr>
        <w:t>Kevane</w:t>
      </w:r>
      <w:proofErr w:type="spellEnd"/>
      <w:r>
        <w:rPr>
          <w:rFonts w:ascii="Times New Roman" w:hAnsi="Times New Roman" w:cs="Times New Roman"/>
        </w:rPr>
        <w:t xml:space="preserve"> and Sundstrom note, “social libraries commonly shared the same basic organizational form as free public libraries, being governed by a board of trustees whose membership often constituted a “who’s who” of </w:t>
      </w:r>
      <w:proofErr w:type="gramStart"/>
      <w:r w:rsidR="00F423A9">
        <w:rPr>
          <w:rFonts w:ascii="Times New Roman" w:hAnsi="Times New Roman" w:cs="Times New Roman"/>
        </w:rPr>
        <w:t>local residents</w:t>
      </w:r>
      <w:proofErr w:type="gramEnd"/>
      <w:r>
        <w:rPr>
          <w:rFonts w:ascii="Times New Roman" w:hAnsi="Times New Roman" w:cs="Times New Roman"/>
        </w:rPr>
        <w:t xml:space="preserve">” (p.126). </w:t>
      </w:r>
      <w:r w:rsidR="003B6C35">
        <w:rPr>
          <w:rFonts w:ascii="Times New Roman" w:hAnsi="Times New Roman" w:cs="Times New Roman"/>
        </w:rPr>
        <w:t xml:space="preserve">Social libraries remained popular and active well into the existence of public libraries, and some are reported as being active as late as the early 1930s (McMullen, 1985; </w:t>
      </w:r>
      <w:proofErr w:type="spellStart"/>
      <w:r w:rsidR="003B6C35">
        <w:rPr>
          <w:rFonts w:ascii="Times New Roman" w:hAnsi="Times New Roman" w:cs="Times New Roman"/>
        </w:rPr>
        <w:t>Kevane</w:t>
      </w:r>
      <w:proofErr w:type="spellEnd"/>
      <w:r w:rsidR="003B6C35">
        <w:rPr>
          <w:rFonts w:ascii="Times New Roman" w:hAnsi="Times New Roman" w:cs="Times New Roman"/>
        </w:rPr>
        <w:t xml:space="preserve"> &amp; Sundstrom, 2014, p. 126). </w:t>
      </w:r>
      <w:r>
        <w:rPr>
          <w:rFonts w:ascii="Times New Roman" w:hAnsi="Times New Roman" w:cs="Times New Roman"/>
        </w:rPr>
        <w:t xml:space="preserve">These social libraries </w:t>
      </w:r>
      <w:r w:rsidR="00986446">
        <w:rPr>
          <w:rFonts w:ascii="Times New Roman" w:hAnsi="Times New Roman" w:cs="Times New Roman"/>
        </w:rPr>
        <w:t xml:space="preserve">worked to </w:t>
      </w:r>
      <w:r w:rsidR="003B6C35">
        <w:rPr>
          <w:rFonts w:ascii="Times New Roman" w:hAnsi="Times New Roman" w:cs="Times New Roman"/>
        </w:rPr>
        <w:t>fulfill a demand for reading that rising education and wages created. Public education also played a part in the development of libraries, as school libraries opened to adults and legislature allowing for the use of state taxes to fund education (</w:t>
      </w:r>
      <w:proofErr w:type="spellStart"/>
      <w:r w:rsidR="003B6C35">
        <w:rPr>
          <w:rFonts w:ascii="Times New Roman" w:hAnsi="Times New Roman" w:cs="Times New Roman"/>
        </w:rPr>
        <w:t>Kevane</w:t>
      </w:r>
      <w:proofErr w:type="spellEnd"/>
      <w:r w:rsidR="003B6C35">
        <w:rPr>
          <w:rFonts w:ascii="Times New Roman" w:hAnsi="Times New Roman" w:cs="Times New Roman"/>
        </w:rPr>
        <w:t xml:space="preserve"> &amp; Sundstrom, 2014, p. 126-127). </w:t>
      </w:r>
      <w:r w:rsidR="00664C75">
        <w:rPr>
          <w:rFonts w:ascii="Times New Roman" w:hAnsi="Times New Roman" w:cs="Times New Roman"/>
        </w:rPr>
        <w:t xml:space="preserve">Borden (1931) states that “logically, </w:t>
      </w:r>
      <w:r w:rsidR="00F423A9">
        <w:rPr>
          <w:rFonts w:ascii="Times New Roman" w:hAnsi="Times New Roman" w:cs="Times New Roman"/>
        </w:rPr>
        <w:t>the</w:t>
      </w:r>
      <w:r w:rsidR="00664C75">
        <w:rPr>
          <w:rFonts w:ascii="Times New Roman" w:hAnsi="Times New Roman" w:cs="Times New Roman"/>
        </w:rPr>
        <w:t xml:space="preserve"> public school was a necessary prelude of a library… The public school did in fact precede the library by a decade or more” (p. 280).</w:t>
      </w:r>
    </w:p>
    <w:p w14:paraId="432D173F" w14:textId="12BB7E9A" w:rsidR="00F423A9" w:rsidRDefault="00F423A9" w:rsidP="00F423A9">
      <w:pPr>
        <w:spacing w:line="480" w:lineRule="auto"/>
        <w:rPr>
          <w:rFonts w:ascii="Times New Roman" w:hAnsi="Times New Roman" w:cs="Times New Roman"/>
        </w:rPr>
      </w:pPr>
      <w:r>
        <w:rPr>
          <w:rFonts w:ascii="Times New Roman" w:hAnsi="Times New Roman" w:cs="Times New Roman"/>
        </w:rPr>
        <w:tab/>
        <w:t>Borden also mentions the importance of philanthropy to early library development. Industrialization created massive wealth in the United States, and much of it was concentrated in the hands of the capitalist owners of industry. One such individual was Andrew Carnegie, who (through his private secretary James Bertram and later, the Carnegie Corporation) allotted charitable donations to fulfill the construction of libraries across the United States (and occasionally Great Britain) (</w:t>
      </w:r>
      <w:proofErr w:type="spellStart"/>
      <w:r>
        <w:rPr>
          <w:rFonts w:ascii="Times New Roman" w:hAnsi="Times New Roman" w:cs="Times New Roman"/>
        </w:rPr>
        <w:t>Bobinski</w:t>
      </w:r>
      <w:proofErr w:type="spellEnd"/>
      <w:r>
        <w:rPr>
          <w:rFonts w:ascii="Times New Roman" w:hAnsi="Times New Roman" w:cs="Times New Roman"/>
        </w:rPr>
        <w:t xml:space="preserve">, 1968, p. 1361). </w:t>
      </w:r>
      <w:r w:rsidR="005D4A80">
        <w:rPr>
          <w:rFonts w:ascii="Times New Roman" w:hAnsi="Times New Roman" w:cs="Times New Roman"/>
        </w:rPr>
        <w:t>Carnegie had a specific set of requirements before he and his corporation gifted the money requisite fo</w:t>
      </w:r>
      <w:r w:rsidR="00F91217">
        <w:rPr>
          <w:rFonts w:ascii="Times New Roman" w:hAnsi="Times New Roman" w:cs="Times New Roman"/>
        </w:rPr>
        <w:t>r th</w:t>
      </w:r>
      <w:r w:rsidR="005D4A80">
        <w:rPr>
          <w:rFonts w:ascii="Times New Roman" w:hAnsi="Times New Roman" w:cs="Times New Roman"/>
        </w:rPr>
        <w:t xml:space="preserve">e library’s construction: to provide all the funding for the library’s operations through its own means, to have approval from the city governance or whatever governing body could ensure the first </w:t>
      </w:r>
      <w:r w:rsidR="005D4A80">
        <w:rPr>
          <w:rFonts w:ascii="Times New Roman" w:hAnsi="Times New Roman" w:cs="Times New Roman"/>
        </w:rPr>
        <w:lastRenderedPageBreak/>
        <w:t>requirement, and to provide the s</w:t>
      </w:r>
      <w:r w:rsidR="00C07F25">
        <w:rPr>
          <w:rFonts w:ascii="Times New Roman" w:hAnsi="Times New Roman" w:cs="Times New Roman"/>
        </w:rPr>
        <w:t>ite</w:t>
      </w:r>
      <w:r w:rsidR="005D4A80">
        <w:rPr>
          <w:rFonts w:ascii="Times New Roman" w:hAnsi="Times New Roman" w:cs="Times New Roman"/>
        </w:rPr>
        <w:t xml:space="preserve"> for the library’s construction (pp. 1362-1366). </w:t>
      </w:r>
      <w:r w:rsidR="00F91217">
        <w:rPr>
          <w:rFonts w:ascii="Times New Roman" w:hAnsi="Times New Roman" w:cs="Times New Roman"/>
        </w:rPr>
        <w:t>Carnegie is representative of post-industrial wealth being reinvested into public institutions.</w:t>
      </w:r>
    </w:p>
    <w:p w14:paraId="32A1F368" w14:textId="59817E2C" w:rsidR="00001CB1" w:rsidRDefault="0059766A" w:rsidP="00F423A9">
      <w:pPr>
        <w:spacing w:line="480" w:lineRule="auto"/>
        <w:rPr>
          <w:rFonts w:ascii="Times New Roman" w:hAnsi="Times New Roman" w:cs="Times New Roman"/>
        </w:rPr>
      </w:pPr>
      <w:r>
        <w:rPr>
          <w:rFonts w:ascii="Times New Roman" w:hAnsi="Times New Roman" w:cs="Times New Roman"/>
        </w:rPr>
        <w:tab/>
        <w:t>While industrial wealth and philanthropy provided the material foundation for many libraries, their development was also shaped by the social and ideological currents of the time. The leaders of the early library movement were not merely erecting</w:t>
      </w:r>
      <w:r w:rsidR="00D867EB">
        <w:rPr>
          <w:rFonts w:ascii="Times New Roman" w:hAnsi="Times New Roman" w:cs="Times New Roman"/>
        </w:rPr>
        <w:t xml:space="preserve"> buildings and opening doors</w:t>
      </w:r>
      <w:r>
        <w:rPr>
          <w:rFonts w:ascii="Times New Roman" w:hAnsi="Times New Roman" w:cs="Times New Roman"/>
        </w:rPr>
        <w:t xml:space="preserve">—they were advancing a </w:t>
      </w:r>
      <w:r w:rsidR="00D867EB">
        <w:rPr>
          <w:rFonts w:ascii="Times New Roman" w:hAnsi="Times New Roman" w:cs="Times New Roman"/>
        </w:rPr>
        <w:t>vision of what libraries should represent in American life. Library historian Wayne A. Weigand (1989) describes how early libraries formed around an “ideology of reading”, which he defines as there being “good” reading (that which betters the lives and morals of its readers) and “bad” reading (which leads one into potentially harmful immoral territory) (p. 100). Weigand suggests that this ideology of reading, although adopted by public library professionals from the start, is determined from outside the professional class. He proposes that librarianship really aimed to tackle two practical concerns: the “science” of managing an institution and expertise.</w:t>
      </w:r>
      <w:r w:rsidR="00C53AF2">
        <w:rPr>
          <w:rFonts w:ascii="Times New Roman" w:hAnsi="Times New Roman" w:cs="Times New Roman"/>
        </w:rPr>
        <w:t xml:space="preserve"> It is common belief now, especially amongst library professionals, that libraries are an important cornerstone to a functioning democracy, providing educational and political resources for the public (Jaeger et al, 2013, p. 168). But much of the early library history shows that ideological concerns, like those of the Christian libraries and Sunday Schools, persisted where librarianship was concerned. As Jaeger et al. (2013) state, “local political leaders believed that public libraries could provide a civilizing influence on the masses and be a means to shape the populace into adhering to hegemonic social norms” (p. 168).</w:t>
      </w:r>
      <w:r w:rsidR="00384571">
        <w:rPr>
          <w:rFonts w:ascii="Times New Roman" w:hAnsi="Times New Roman" w:cs="Times New Roman"/>
        </w:rPr>
        <w:t xml:space="preserve"> </w:t>
      </w:r>
    </w:p>
    <w:p w14:paraId="284413C0" w14:textId="49B06EC9" w:rsidR="0059766A" w:rsidRDefault="00384571" w:rsidP="00001CB1">
      <w:pPr>
        <w:spacing w:line="480" w:lineRule="auto"/>
        <w:ind w:firstLine="720"/>
        <w:rPr>
          <w:rFonts w:ascii="Times New Roman" w:hAnsi="Times New Roman" w:cs="Times New Roman"/>
        </w:rPr>
      </w:pPr>
      <w:r>
        <w:rPr>
          <w:rFonts w:ascii="Times New Roman" w:hAnsi="Times New Roman" w:cs="Times New Roman"/>
        </w:rPr>
        <w:t>It was</w:t>
      </w:r>
      <w:r w:rsidR="00E712F1">
        <w:rPr>
          <w:rFonts w:ascii="Times New Roman" w:hAnsi="Times New Roman" w:cs="Times New Roman"/>
        </w:rPr>
        <w:t xml:space="preserve"> not</w:t>
      </w:r>
      <w:r>
        <w:rPr>
          <w:rFonts w:ascii="Times New Roman" w:hAnsi="Times New Roman" w:cs="Times New Roman"/>
        </w:rPr>
        <w:t xml:space="preserve"> until WWII that libraries reoriented to support the war effort, adopting intellectual freedom as a political stance against fascism and censorship, which later evolved into their rebranding as a “marketplace of ideas” committed to providing nonpartisan information to support the process. (Jaeger et al, 2013, p. 170).</w:t>
      </w:r>
      <w:r w:rsidR="00AD0861">
        <w:rPr>
          <w:rFonts w:ascii="Times New Roman" w:hAnsi="Times New Roman" w:cs="Times New Roman"/>
        </w:rPr>
        <w:t xml:space="preserve"> As Haas (1996) notes, the postwar decades </w:t>
      </w:r>
      <w:r w:rsidR="00AD0861">
        <w:rPr>
          <w:rFonts w:ascii="Times New Roman" w:hAnsi="Times New Roman" w:cs="Times New Roman"/>
        </w:rPr>
        <w:lastRenderedPageBreak/>
        <w:t>brought renewed calls to reaffirm and expand the mission of American libraries, with recommendations for increased federal support, national coordination, and a stronger emphasis on scholarship and professional development. While these efforts have often fallen short, they reflect a broader evolution in the mission of libraries</w:t>
      </w:r>
      <w:r w:rsidR="00547945">
        <w:rPr>
          <w:rFonts w:ascii="Times New Roman" w:hAnsi="Times New Roman" w:cs="Times New Roman"/>
        </w:rPr>
        <w:t xml:space="preserve"> from societal</w:t>
      </w:r>
      <w:r w:rsidR="00AD0861">
        <w:rPr>
          <w:rFonts w:ascii="Times New Roman" w:hAnsi="Times New Roman" w:cs="Times New Roman"/>
        </w:rPr>
        <w:t xml:space="preserve"> moral guides</w:t>
      </w:r>
      <w:r w:rsidR="00547945">
        <w:rPr>
          <w:rFonts w:ascii="Times New Roman" w:hAnsi="Times New Roman" w:cs="Times New Roman"/>
        </w:rPr>
        <w:t xml:space="preserve"> to </w:t>
      </w:r>
      <w:r w:rsidR="00AD0861">
        <w:rPr>
          <w:rFonts w:ascii="Times New Roman" w:hAnsi="Times New Roman" w:cs="Times New Roman"/>
        </w:rPr>
        <w:t xml:space="preserve">essential democratic institutions capable of </w:t>
      </w:r>
      <w:r w:rsidR="00B52763">
        <w:rPr>
          <w:rFonts w:ascii="Times New Roman" w:hAnsi="Times New Roman" w:cs="Times New Roman"/>
        </w:rPr>
        <w:t>adapting</w:t>
      </w:r>
      <w:r w:rsidR="00AD0861">
        <w:rPr>
          <w:rFonts w:ascii="Times New Roman" w:hAnsi="Times New Roman" w:cs="Times New Roman"/>
        </w:rPr>
        <w:t xml:space="preserve"> to the needs of a rapidly changing information society.</w:t>
      </w:r>
    </w:p>
    <w:p w14:paraId="683B4CB3" w14:textId="2C106116" w:rsidR="00AD0861" w:rsidRDefault="00B52763" w:rsidP="00F423A9">
      <w:pPr>
        <w:spacing w:line="480" w:lineRule="auto"/>
        <w:rPr>
          <w:rFonts w:ascii="Times New Roman" w:hAnsi="Times New Roman" w:cs="Times New Roman"/>
        </w:rPr>
      </w:pPr>
      <w:r>
        <w:rPr>
          <w:rFonts w:ascii="Times New Roman" w:hAnsi="Times New Roman" w:cs="Times New Roman"/>
        </w:rPr>
        <w:tab/>
      </w:r>
      <w:r w:rsidR="004971D2">
        <w:rPr>
          <w:rFonts w:ascii="Times New Roman" w:hAnsi="Times New Roman" w:cs="Times New Roman"/>
        </w:rPr>
        <w:t xml:space="preserve">Studying the emergence of the American public library alongside the rise of the national book trade can shed light on the enduring structural tensions that exist between access and control. Courtney and </w:t>
      </w:r>
      <w:proofErr w:type="spellStart"/>
      <w:r w:rsidR="004971D2">
        <w:rPr>
          <w:rFonts w:ascii="Times New Roman" w:hAnsi="Times New Roman" w:cs="Times New Roman"/>
        </w:rPr>
        <w:t>Ziskina</w:t>
      </w:r>
      <w:proofErr w:type="spellEnd"/>
      <w:r w:rsidR="004971D2">
        <w:rPr>
          <w:rFonts w:ascii="Times New Roman" w:hAnsi="Times New Roman" w:cs="Times New Roman"/>
        </w:rPr>
        <w:t xml:space="preserve"> (2023) examine the ongoing and in some ways heightening legal battles between publishers and libraries, showing that </w:t>
      </w:r>
      <w:r w:rsidR="00B051DC">
        <w:rPr>
          <w:rFonts w:ascii="Times New Roman" w:hAnsi="Times New Roman" w:cs="Times New Roman"/>
        </w:rPr>
        <w:t>the sam</w:t>
      </w:r>
      <w:r w:rsidR="004971D2">
        <w:rPr>
          <w:rFonts w:ascii="Times New Roman" w:hAnsi="Times New Roman" w:cs="Times New Roman"/>
        </w:rPr>
        <w:t>e forces that shaped early print culture—ownership rights, distribution rights, and public demand—still define the library’s mission in the digital era. By understanding how these dynamics first took shape in the 19</w:t>
      </w:r>
      <w:r w:rsidR="004971D2" w:rsidRPr="004971D2">
        <w:rPr>
          <w:rFonts w:ascii="Times New Roman" w:hAnsi="Times New Roman" w:cs="Times New Roman"/>
          <w:vertAlign w:val="superscript"/>
        </w:rPr>
        <w:t>th</w:t>
      </w:r>
      <w:r w:rsidR="004971D2">
        <w:rPr>
          <w:rFonts w:ascii="Times New Roman" w:hAnsi="Times New Roman" w:cs="Times New Roman"/>
        </w:rPr>
        <w:t xml:space="preserve"> century, we can better interpret modern conflicts over information access.</w:t>
      </w:r>
    </w:p>
    <w:p w14:paraId="29D893EE" w14:textId="50D5347B" w:rsidR="004971D2" w:rsidRDefault="004971D2" w:rsidP="00F423A9">
      <w:pPr>
        <w:spacing w:line="480" w:lineRule="auto"/>
        <w:rPr>
          <w:rFonts w:ascii="Times New Roman" w:hAnsi="Times New Roman" w:cs="Times New Roman"/>
        </w:rPr>
      </w:pPr>
      <w:r>
        <w:rPr>
          <w:rFonts w:ascii="Times New Roman" w:hAnsi="Times New Roman" w:cs="Times New Roman"/>
        </w:rPr>
        <w:tab/>
        <w:t xml:space="preserve">The history of technology remains central to library work today, </w:t>
      </w:r>
      <w:r w:rsidR="004700F4">
        <w:rPr>
          <w:rFonts w:ascii="Times New Roman" w:hAnsi="Times New Roman" w:cs="Times New Roman"/>
        </w:rPr>
        <w:t>especially in</w:t>
      </w:r>
      <w:r>
        <w:rPr>
          <w:rFonts w:ascii="Times New Roman" w:hAnsi="Times New Roman" w:cs="Times New Roman"/>
        </w:rPr>
        <w:t xml:space="preserve"> preservation. Silverman (2007) suggests that </w:t>
      </w:r>
      <w:r w:rsidR="004700F4">
        <w:rPr>
          <w:rFonts w:ascii="Times New Roman" w:hAnsi="Times New Roman" w:cs="Times New Roman"/>
        </w:rPr>
        <w:t>understand</w:t>
      </w:r>
      <w:r>
        <w:rPr>
          <w:rFonts w:ascii="Times New Roman" w:hAnsi="Times New Roman" w:cs="Times New Roman"/>
        </w:rPr>
        <w:t>ing the materials and p</w:t>
      </w:r>
      <w:r w:rsidR="004700F4">
        <w:rPr>
          <w:rFonts w:ascii="Times New Roman" w:hAnsi="Times New Roman" w:cs="Times New Roman"/>
        </w:rPr>
        <w:t>roduction</w:t>
      </w:r>
      <w:r>
        <w:rPr>
          <w:rFonts w:ascii="Times New Roman" w:hAnsi="Times New Roman" w:cs="Times New Roman"/>
        </w:rPr>
        <w:t xml:space="preserve"> processes of 19</w:t>
      </w:r>
      <w:r w:rsidRPr="004971D2">
        <w:rPr>
          <w:rFonts w:ascii="Times New Roman" w:hAnsi="Times New Roman" w:cs="Times New Roman"/>
          <w:vertAlign w:val="superscript"/>
        </w:rPr>
        <w:t>th</w:t>
      </w:r>
      <w:r>
        <w:rPr>
          <w:rFonts w:ascii="Times New Roman" w:hAnsi="Times New Roman" w:cs="Times New Roman"/>
        </w:rPr>
        <w:t xml:space="preserve">-century printing technology is </w:t>
      </w:r>
      <w:r w:rsidR="004700F4">
        <w:rPr>
          <w:rFonts w:ascii="Times New Roman" w:hAnsi="Times New Roman" w:cs="Times New Roman"/>
        </w:rPr>
        <w:t>essentia</w:t>
      </w:r>
      <w:r>
        <w:rPr>
          <w:rFonts w:ascii="Times New Roman" w:hAnsi="Times New Roman" w:cs="Times New Roman"/>
        </w:rPr>
        <w:t xml:space="preserve">l for developing informed </w:t>
      </w:r>
      <w:r w:rsidR="004700F4">
        <w:rPr>
          <w:rFonts w:ascii="Times New Roman" w:hAnsi="Times New Roman" w:cs="Times New Roman"/>
        </w:rPr>
        <w:t xml:space="preserve">and effective </w:t>
      </w:r>
      <w:r>
        <w:rPr>
          <w:rFonts w:ascii="Times New Roman" w:hAnsi="Times New Roman" w:cs="Times New Roman"/>
        </w:rPr>
        <w:t xml:space="preserve">preservation strategies. Silverman </w:t>
      </w:r>
      <w:r w:rsidR="004700F4">
        <w:rPr>
          <w:rFonts w:ascii="Times New Roman" w:hAnsi="Times New Roman" w:cs="Times New Roman"/>
        </w:rPr>
        <w:t>emphasizes the historical value of original bindings and examines how practices like oversewing have caused long-term damage to collections. By actively studying and reassessing the technologies used in 19</w:t>
      </w:r>
      <w:r w:rsidR="004700F4" w:rsidRPr="004700F4">
        <w:rPr>
          <w:rFonts w:ascii="Times New Roman" w:hAnsi="Times New Roman" w:cs="Times New Roman"/>
          <w:vertAlign w:val="superscript"/>
        </w:rPr>
        <w:t>th</w:t>
      </w:r>
      <w:r w:rsidR="004700F4">
        <w:rPr>
          <w:rFonts w:ascii="Times New Roman" w:hAnsi="Times New Roman" w:cs="Times New Roman"/>
        </w:rPr>
        <w:t>-century book manufacture, libraries can refine their methods to better align with their core mission of preservation and access.</w:t>
      </w:r>
    </w:p>
    <w:p w14:paraId="0D5D5F22" w14:textId="596E62D0" w:rsidR="007242F2" w:rsidRDefault="007242F2" w:rsidP="00F423A9">
      <w:pPr>
        <w:spacing w:line="480" w:lineRule="auto"/>
        <w:rPr>
          <w:rFonts w:ascii="Times New Roman" w:hAnsi="Times New Roman" w:cs="Times New Roman"/>
        </w:rPr>
      </w:pPr>
      <w:r>
        <w:rPr>
          <w:rFonts w:ascii="Times New Roman" w:hAnsi="Times New Roman" w:cs="Times New Roman"/>
        </w:rPr>
        <w:tab/>
        <w:t>The foundations of today’s public libraries were laid in the 19</w:t>
      </w:r>
      <w:r w:rsidRPr="007242F2">
        <w:rPr>
          <w:rFonts w:ascii="Times New Roman" w:hAnsi="Times New Roman" w:cs="Times New Roman"/>
          <w:vertAlign w:val="superscript"/>
        </w:rPr>
        <w:t>th</w:t>
      </w:r>
      <w:r>
        <w:rPr>
          <w:rFonts w:ascii="Times New Roman" w:hAnsi="Times New Roman" w:cs="Times New Roman"/>
        </w:rPr>
        <w:t xml:space="preserve"> century, when technological advances in printing, the expansion of the national book trade, and shifting social </w:t>
      </w:r>
      <w:r>
        <w:rPr>
          <w:rFonts w:ascii="Times New Roman" w:hAnsi="Times New Roman" w:cs="Times New Roman"/>
        </w:rPr>
        <w:lastRenderedPageBreak/>
        <w:t>and political currents converged to create institutions devoted to public access. The structural models</w:t>
      </w:r>
      <w:r w:rsidR="00BE4830">
        <w:rPr>
          <w:rFonts w:ascii="Times New Roman" w:hAnsi="Times New Roman" w:cs="Times New Roman"/>
        </w:rPr>
        <w:t xml:space="preserve"> and missions</w:t>
      </w:r>
      <w:r>
        <w:rPr>
          <w:rFonts w:ascii="Times New Roman" w:hAnsi="Times New Roman" w:cs="Times New Roman"/>
        </w:rPr>
        <w:t xml:space="preserve"> that shaped early libraries remain visible today</w:t>
      </w:r>
      <w:r w:rsidR="00BE4830">
        <w:rPr>
          <w:rFonts w:ascii="Times New Roman" w:hAnsi="Times New Roman" w:cs="Times New Roman"/>
        </w:rPr>
        <w:t xml:space="preserve"> as information professionals face new and persistent obstacles</w:t>
      </w:r>
      <w:r>
        <w:rPr>
          <w:rFonts w:ascii="Times New Roman" w:hAnsi="Times New Roman" w:cs="Times New Roman"/>
        </w:rPr>
        <w:t>. In both their ideals and their challenges, modern libraries carry forward the perspectives forged during their formative century, adapting them to meet the needs of a continually changing information landscape.</w:t>
      </w:r>
      <w:r w:rsidR="00B051DC">
        <w:rPr>
          <w:rFonts w:ascii="Times New Roman" w:hAnsi="Times New Roman" w:cs="Times New Roman"/>
        </w:rPr>
        <w:t xml:space="preserve"> In this way, the libraries of today remain products of the Industrial Revolution.</w:t>
      </w:r>
    </w:p>
    <w:p w14:paraId="39864A40" w14:textId="6FDB4932" w:rsidR="00DD4F12" w:rsidRDefault="00DD4F12">
      <w:pPr>
        <w:rPr>
          <w:rFonts w:ascii="Times New Roman" w:hAnsi="Times New Roman" w:cs="Times New Roman"/>
        </w:rPr>
      </w:pPr>
      <w:r>
        <w:rPr>
          <w:rFonts w:ascii="Times New Roman" w:hAnsi="Times New Roman" w:cs="Times New Roman"/>
        </w:rPr>
        <w:br w:type="page"/>
      </w:r>
    </w:p>
    <w:p w14:paraId="4A93FC19" w14:textId="49DA788B" w:rsidR="00DD4F12" w:rsidRDefault="00DD4F12" w:rsidP="00DD4F12">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56642BEE" w14:textId="77777777" w:rsidR="002D0788" w:rsidRPr="00CC13D3" w:rsidRDefault="002D0788" w:rsidP="006D550A">
      <w:pPr>
        <w:spacing w:line="480" w:lineRule="auto"/>
        <w:ind w:left="720" w:hanging="720"/>
        <w:rPr>
          <w:rFonts w:ascii="Times New Roman" w:hAnsi="Times New Roman" w:cs="Times New Roman"/>
        </w:rPr>
      </w:pPr>
      <w:proofErr w:type="spellStart"/>
      <w:r w:rsidRPr="00CC13D3">
        <w:rPr>
          <w:rFonts w:ascii="Times New Roman" w:hAnsi="Times New Roman" w:cs="Times New Roman"/>
        </w:rPr>
        <w:t>Bobinski</w:t>
      </w:r>
      <w:proofErr w:type="spellEnd"/>
      <w:r w:rsidRPr="00CC13D3">
        <w:rPr>
          <w:rFonts w:ascii="Times New Roman" w:hAnsi="Times New Roman" w:cs="Times New Roman"/>
        </w:rPr>
        <w:t xml:space="preserve">, G. S. (1968). Carnegie </w:t>
      </w:r>
      <w:r w:rsidRPr="005C13FD">
        <w:rPr>
          <w:rFonts w:ascii="Times New Roman" w:hAnsi="Times New Roman" w:cs="Times New Roman"/>
        </w:rPr>
        <w:t>librar</w:t>
      </w:r>
      <w:r w:rsidRPr="00CC13D3">
        <w:rPr>
          <w:rFonts w:ascii="Times New Roman" w:hAnsi="Times New Roman" w:cs="Times New Roman"/>
        </w:rPr>
        <w:t xml:space="preserve">ies: </w:t>
      </w:r>
      <w:r w:rsidRPr="005C13FD">
        <w:rPr>
          <w:rFonts w:ascii="Times New Roman" w:hAnsi="Times New Roman" w:cs="Times New Roman"/>
        </w:rPr>
        <w:t>Th</w:t>
      </w:r>
      <w:r w:rsidRPr="00CC13D3">
        <w:rPr>
          <w:rFonts w:ascii="Times New Roman" w:hAnsi="Times New Roman" w:cs="Times New Roman"/>
        </w:rPr>
        <w:t>eir history and impact on American public library development. </w:t>
      </w:r>
      <w:r w:rsidRPr="00CC13D3">
        <w:rPr>
          <w:rFonts w:ascii="Times New Roman" w:hAnsi="Times New Roman" w:cs="Times New Roman"/>
          <w:i/>
          <w:iCs/>
        </w:rPr>
        <w:t>ALA Bulletin</w:t>
      </w:r>
      <w:r w:rsidRPr="00CC13D3">
        <w:rPr>
          <w:rFonts w:ascii="Times New Roman" w:hAnsi="Times New Roman" w:cs="Times New Roman"/>
        </w:rPr>
        <w:t>, </w:t>
      </w:r>
      <w:r w:rsidRPr="00CC13D3">
        <w:rPr>
          <w:rFonts w:ascii="Times New Roman" w:hAnsi="Times New Roman" w:cs="Times New Roman"/>
          <w:i/>
          <w:iCs/>
        </w:rPr>
        <w:t>62</w:t>
      </w:r>
      <w:r w:rsidRPr="00CC13D3">
        <w:rPr>
          <w:rFonts w:ascii="Times New Roman" w:hAnsi="Times New Roman" w:cs="Times New Roman"/>
        </w:rPr>
        <w:t>(11), 1361–1367. http://www.jstor.org/stable/25698025</w:t>
      </w:r>
    </w:p>
    <w:p w14:paraId="3FFC8A5E" w14:textId="77777777" w:rsidR="002D0788" w:rsidRPr="009836FA" w:rsidRDefault="002D0788" w:rsidP="006D550A">
      <w:pPr>
        <w:spacing w:line="480" w:lineRule="auto"/>
        <w:ind w:left="720" w:hanging="720"/>
        <w:rPr>
          <w:rFonts w:ascii="Times New Roman" w:hAnsi="Times New Roman" w:cs="Times New Roman"/>
        </w:rPr>
      </w:pPr>
      <w:r w:rsidRPr="009836FA">
        <w:rPr>
          <w:rFonts w:ascii="Times New Roman" w:hAnsi="Times New Roman" w:cs="Times New Roman"/>
        </w:rPr>
        <w:t>Borden, A. K. (1931). The sociological beginnings of the library movement. </w:t>
      </w:r>
      <w:r w:rsidRPr="009836FA">
        <w:rPr>
          <w:rFonts w:ascii="Times New Roman" w:hAnsi="Times New Roman" w:cs="Times New Roman"/>
          <w:i/>
          <w:iCs/>
        </w:rPr>
        <w:t>The Library Quarterly: Information, Community, Policy</w:t>
      </w:r>
      <w:r w:rsidRPr="009836FA">
        <w:rPr>
          <w:rFonts w:ascii="Times New Roman" w:hAnsi="Times New Roman" w:cs="Times New Roman"/>
        </w:rPr>
        <w:t>, </w:t>
      </w:r>
      <w:r w:rsidRPr="009836FA">
        <w:rPr>
          <w:rFonts w:ascii="Times New Roman" w:hAnsi="Times New Roman" w:cs="Times New Roman"/>
          <w:i/>
          <w:iCs/>
        </w:rPr>
        <w:t>1</w:t>
      </w:r>
      <w:r w:rsidRPr="009836FA">
        <w:rPr>
          <w:rFonts w:ascii="Times New Roman" w:hAnsi="Times New Roman" w:cs="Times New Roman"/>
        </w:rPr>
        <w:t>(3), 278–282. http://www.jstor.org/stable/40039658</w:t>
      </w:r>
    </w:p>
    <w:p w14:paraId="37188609" w14:textId="77777777" w:rsidR="006D550A" w:rsidRPr="006F3288" w:rsidRDefault="006D550A" w:rsidP="006D550A">
      <w:pPr>
        <w:spacing w:line="480" w:lineRule="auto"/>
        <w:ind w:left="720" w:hanging="720"/>
        <w:rPr>
          <w:rFonts w:ascii="Times New Roman" w:hAnsi="Times New Roman" w:cs="Times New Roman"/>
        </w:rPr>
      </w:pPr>
      <w:r w:rsidRPr="006F3288">
        <w:rPr>
          <w:rFonts w:ascii="Times New Roman" w:hAnsi="Times New Roman" w:cs="Times New Roman"/>
        </w:rPr>
        <w:t xml:space="preserve">Burke, P. (2016). Three print revolutions. In H. </w:t>
      </w:r>
      <w:proofErr w:type="spellStart"/>
      <w:r w:rsidRPr="006F3288">
        <w:rPr>
          <w:rFonts w:ascii="Times New Roman" w:hAnsi="Times New Roman" w:cs="Times New Roman"/>
        </w:rPr>
        <w:t>Diemberger</w:t>
      </w:r>
      <w:proofErr w:type="spellEnd"/>
      <w:r w:rsidRPr="006F3288">
        <w:rPr>
          <w:rFonts w:ascii="Times New Roman" w:hAnsi="Times New Roman" w:cs="Times New Roman"/>
        </w:rPr>
        <w:t xml:space="preserve">, F.-K. </w:t>
      </w:r>
      <w:proofErr w:type="spellStart"/>
      <w:r w:rsidRPr="006F3288">
        <w:rPr>
          <w:rFonts w:ascii="Times New Roman" w:hAnsi="Times New Roman" w:cs="Times New Roman"/>
        </w:rPr>
        <w:t>Ehrhard</w:t>
      </w:r>
      <w:proofErr w:type="spellEnd"/>
      <w:r w:rsidRPr="006F3288">
        <w:rPr>
          <w:rFonts w:ascii="Times New Roman" w:hAnsi="Times New Roman" w:cs="Times New Roman"/>
        </w:rPr>
        <w:t xml:space="preserve">, &amp; P. </w:t>
      </w:r>
      <w:proofErr w:type="spellStart"/>
      <w:r w:rsidRPr="006F3288">
        <w:rPr>
          <w:rFonts w:ascii="Times New Roman" w:hAnsi="Times New Roman" w:cs="Times New Roman"/>
        </w:rPr>
        <w:t>Kornicki</w:t>
      </w:r>
      <w:proofErr w:type="spellEnd"/>
      <w:r w:rsidRPr="006F3288">
        <w:rPr>
          <w:rFonts w:ascii="Times New Roman" w:hAnsi="Times New Roman" w:cs="Times New Roman"/>
        </w:rPr>
        <w:t xml:space="preserve"> (Eds.), </w:t>
      </w:r>
      <w:r w:rsidRPr="006F3288">
        <w:rPr>
          <w:rFonts w:ascii="Times New Roman" w:hAnsi="Times New Roman" w:cs="Times New Roman"/>
          <w:i/>
          <w:iCs/>
        </w:rPr>
        <w:t>Tibetan Printing: Comparison, Continuities, and Change</w:t>
      </w:r>
      <w:r w:rsidRPr="006F3288">
        <w:rPr>
          <w:rFonts w:ascii="Times New Roman" w:hAnsi="Times New Roman" w:cs="Times New Roman"/>
        </w:rPr>
        <w:t> (pp. 13–20). Brill. http://www.jstor.org/stable/10.1163/j.ctt1w8h246.6</w:t>
      </w:r>
    </w:p>
    <w:p w14:paraId="764C6F61" w14:textId="77777777" w:rsidR="006D550A" w:rsidRDefault="006D550A" w:rsidP="006D550A">
      <w:pPr>
        <w:spacing w:line="480" w:lineRule="auto"/>
        <w:ind w:left="720" w:hanging="720"/>
        <w:rPr>
          <w:rFonts w:ascii="Times New Roman" w:hAnsi="Times New Roman" w:cs="Times New Roman"/>
        </w:rPr>
      </w:pPr>
      <w:r w:rsidRPr="006D550A">
        <w:rPr>
          <w:rFonts w:ascii="Times New Roman" w:hAnsi="Times New Roman" w:cs="Times New Roman"/>
        </w:rPr>
        <w:t>B</w:t>
      </w:r>
      <w:r w:rsidRPr="003972C2">
        <w:rPr>
          <w:rFonts w:ascii="Times New Roman" w:hAnsi="Times New Roman" w:cs="Times New Roman"/>
        </w:rPr>
        <w:t xml:space="preserve">utler, B. (2010). “There </w:t>
      </w:r>
      <w:proofErr w:type="spellStart"/>
      <w:r w:rsidRPr="003972C2">
        <w:rPr>
          <w:rFonts w:ascii="Times New Roman" w:hAnsi="Times New Roman" w:cs="Times New Roman"/>
        </w:rPr>
        <w:t>ain’t</w:t>
      </w:r>
      <w:proofErr w:type="spellEnd"/>
      <w:r w:rsidRPr="003972C2">
        <w:rPr>
          <w:rFonts w:ascii="Times New Roman" w:hAnsi="Times New Roman" w:cs="Times New Roman"/>
        </w:rPr>
        <w:t xml:space="preserve"> anything in this world that sells a book like a pretty cover”: Nineteenth-century publishers’ </w:t>
      </w:r>
      <w:proofErr w:type="spellStart"/>
      <w:r w:rsidRPr="003972C2">
        <w:rPr>
          <w:rFonts w:ascii="Times New Roman" w:hAnsi="Times New Roman" w:cs="Times New Roman"/>
        </w:rPr>
        <w:t>bookbindings</w:t>
      </w:r>
      <w:proofErr w:type="spellEnd"/>
      <w:r w:rsidRPr="003972C2">
        <w:rPr>
          <w:rFonts w:ascii="Times New Roman" w:hAnsi="Times New Roman" w:cs="Times New Roman"/>
        </w:rPr>
        <w:t xml:space="preserve"> in library collections. </w:t>
      </w:r>
      <w:r w:rsidRPr="003972C2">
        <w:rPr>
          <w:rFonts w:ascii="Times New Roman" w:hAnsi="Times New Roman" w:cs="Times New Roman"/>
          <w:i/>
          <w:iCs/>
        </w:rPr>
        <w:t>Art Documentation: Bulletin of the Art Libraries Society of North America</w:t>
      </w:r>
      <w:r w:rsidRPr="003972C2">
        <w:rPr>
          <w:rFonts w:ascii="Times New Roman" w:hAnsi="Times New Roman" w:cs="Times New Roman"/>
        </w:rPr>
        <w:t>, </w:t>
      </w:r>
      <w:r w:rsidRPr="003972C2">
        <w:rPr>
          <w:rFonts w:ascii="Times New Roman" w:hAnsi="Times New Roman" w:cs="Times New Roman"/>
          <w:i/>
          <w:iCs/>
        </w:rPr>
        <w:t>29</w:t>
      </w:r>
      <w:r w:rsidRPr="003972C2">
        <w:rPr>
          <w:rFonts w:ascii="Times New Roman" w:hAnsi="Times New Roman" w:cs="Times New Roman"/>
        </w:rPr>
        <w:t>(1), 23–30.</w:t>
      </w:r>
    </w:p>
    <w:p w14:paraId="4704CEFF" w14:textId="58000882" w:rsidR="00DD4F12" w:rsidRPr="00DD4F12" w:rsidRDefault="006D550A" w:rsidP="006D550A">
      <w:pPr>
        <w:spacing w:line="480" w:lineRule="auto"/>
        <w:ind w:left="720" w:hanging="720"/>
        <w:rPr>
          <w:rFonts w:ascii="Times New Roman" w:hAnsi="Times New Roman" w:cs="Times New Roman"/>
        </w:rPr>
      </w:pPr>
      <w:r w:rsidRPr="002D5592">
        <w:rPr>
          <w:rFonts w:ascii="Times New Roman" w:hAnsi="Times New Roman" w:cs="Times New Roman"/>
        </w:rPr>
        <w:t>Casper, S., &amp; Rubin, J. (2010). 48</w:t>
      </w:r>
      <w:r w:rsidRPr="002D5592">
        <w:rPr>
          <w:rFonts w:ascii="Times New Roman" w:hAnsi="Times New Roman" w:cs="Times New Roman"/>
        </w:rPr>
        <w:t> </w:t>
      </w:r>
      <w:r w:rsidRPr="002D5592">
        <w:rPr>
          <w:rFonts w:ascii="Times New Roman" w:hAnsi="Times New Roman" w:cs="Times New Roman"/>
        </w:rPr>
        <w:t xml:space="preserve">The </w:t>
      </w:r>
      <w:r w:rsidR="00B14B28" w:rsidRPr="002D5592">
        <w:rPr>
          <w:rFonts w:ascii="Times New Roman" w:hAnsi="Times New Roman" w:cs="Times New Roman"/>
        </w:rPr>
        <w:t xml:space="preserve">history of the book in </w:t>
      </w:r>
      <w:proofErr w:type="spellStart"/>
      <w:r w:rsidR="00B14B28" w:rsidRPr="002D5592">
        <w:rPr>
          <w:rFonts w:ascii="Times New Roman" w:hAnsi="Times New Roman" w:cs="Times New Roman"/>
        </w:rPr>
        <w:t>america</w:t>
      </w:r>
      <w:proofErr w:type="spellEnd"/>
      <w:r w:rsidR="00B14B28" w:rsidRPr="002D5592">
        <w:rPr>
          <w:rFonts w:ascii="Times New Roman" w:hAnsi="Times New Roman" w:cs="Times New Roman"/>
        </w:rPr>
        <w:t>. In the oxford companion to the book</w:t>
      </w:r>
      <w:proofErr w:type="gramStart"/>
      <w:r w:rsidR="00B14B28" w:rsidRPr="002D5592">
        <w:rPr>
          <w:rFonts w:ascii="Times New Roman" w:hAnsi="Times New Roman" w:cs="Times New Roman"/>
        </w:rPr>
        <w:t>.</w:t>
      </w:r>
      <w:r w:rsidRPr="002D5592">
        <w:rPr>
          <w:rFonts w:ascii="Times New Roman" w:hAnsi="Times New Roman" w:cs="Times New Roman"/>
        </w:rPr>
        <w:t> :</w:t>
      </w:r>
      <w:proofErr w:type="gramEnd"/>
      <w:r w:rsidRPr="002D5592">
        <w:rPr>
          <w:rFonts w:ascii="Times New Roman" w:hAnsi="Times New Roman" w:cs="Times New Roman"/>
        </w:rPr>
        <w:t xml:space="preserve"> Oxford University Press. Retrieved 24 Jul. 2025, from </w:t>
      </w:r>
      <w:hyperlink r:id="rId7" w:history="1">
        <w:r w:rsidRPr="005651EB">
          <w:rPr>
            <w:rStyle w:val="Hyperlink"/>
            <w:rFonts w:ascii="Times New Roman" w:hAnsi="Times New Roman" w:cs="Times New Roman"/>
          </w:rPr>
          <w:t>https://www-oxfordreference-com.proxy.ulib.uits.iu.edu/view/10.1093/acref/9780198606536.001.0001/acref-9780198606536-e-0051</w:t>
        </w:r>
      </w:hyperlink>
    </w:p>
    <w:p w14:paraId="4FB369BC" w14:textId="77777777" w:rsidR="006D550A" w:rsidRDefault="006D550A" w:rsidP="006D550A">
      <w:pPr>
        <w:spacing w:line="480" w:lineRule="auto"/>
        <w:ind w:left="720" w:hanging="720"/>
        <w:rPr>
          <w:rFonts w:ascii="Times New Roman" w:hAnsi="Times New Roman" w:cs="Times New Roman"/>
        </w:rPr>
      </w:pPr>
      <w:r w:rsidRPr="00AD7F1A">
        <w:rPr>
          <w:rFonts w:ascii="Times New Roman" w:hAnsi="Times New Roman" w:cs="Times New Roman"/>
        </w:rPr>
        <w:t xml:space="preserve">Courtney, K., &amp; </w:t>
      </w:r>
      <w:proofErr w:type="spellStart"/>
      <w:r w:rsidRPr="00AD7F1A">
        <w:rPr>
          <w:rFonts w:ascii="Times New Roman" w:hAnsi="Times New Roman" w:cs="Times New Roman"/>
        </w:rPr>
        <w:t>Ziskina</w:t>
      </w:r>
      <w:proofErr w:type="spellEnd"/>
      <w:r w:rsidRPr="00AD7F1A">
        <w:rPr>
          <w:rFonts w:ascii="Times New Roman" w:hAnsi="Times New Roman" w:cs="Times New Roman"/>
        </w:rPr>
        <w:t xml:space="preserve">, J. (2023). </w:t>
      </w:r>
      <w:r>
        <w:rPr>
          <w:rFonts w:ascii="Times New Roman" w:hAnsi="Times New Roman" w:cs="Times New Roman"/>
        </w:rPr>
        <w:t>“</w:t>
      </w:r>
      <w:r w:rsidRPr="00AD7F1A">
        <w:rPr>
          <w:rFonts w:ascii="Times New Roman" w:hAnsi="Times New Roman" w:cs="Times New Roman"/>
        </w:rPr>
        <w:t>The publisher playbook: A brief history of the publishing industry’s obstruction of the library mission.</w:t>
      </w:r>
      <w:r>
        <w:rPr>
          <w:rFonts w:ascii="Times New Roman" w:hAnsi="Times New Roman" w:cs="Times New Roman"/>
        </w:rPr>
        <w:t>”</w:t>
      </w:r>
      <w:r w:rsidRPr="00AD7F1A">
        <w:rPr>
          <w:rFonts w:ascii="Times New Roman" w:hAnsi="Times New Roman" w:cs="Times New Roman"/>
        </w:rPr>
        <w:t xml:space="preserve"> </w:t>
      </w:r>
      <w:r w:rsidRPr="00AD7F1A">
        <w:rPr>
          <w:rFonts w:ascii="Times New Roman" w:hAnsi="Times New Roman" w:cs="Times New Roman"/>
          <w:i/>
          <w:iCs/>
        </w:rPr>
        <w:t>Digital Access to Harvard Scholarship.</w:t>
      </w:r>
      <w:r w:rsidRPr="00AD7F1A">
        <w:rPr>
          <w:rFonts w:ascii="Times New Roman" w:hAnsi="Times New Roman" w:cs="Times New Roman"/>
        </w:rPr>
        <w:t xml:space="preserve"> </w:t>
      </w:r>
      <w:hyperlink r:id="rId8" w:history="1">
        <w:r w:rsidRPr="00AD7F1A">
          <w:rPr>
            <w:rStyle w:val="Hyperlink"/>
            <w:rFonts w:ascii="Times New Roman" w:hAnsi="Times New Roman" w:cs="Times New Roman"/>
          </w:rPr>
          <w:t>https://nrs.harvard.edu/URN-3:HUL.INSTREPOS:37374618</w:t>
        </w:r>
      </w:hyperlink>
    </w:p>
    <w:p w14:paraId="3AD43C24" w14:textId="77777777" w:rsidR="006D550A" w:rsidRPr="00C749AB" w:rsidRDefault="006D550A" w:rsidP="006D550A">
      <w:pPr>
        <w:spacing w:line="480" w:lineRule="auto"/>
        <w:ind w:left="720" w:hanging="720"/>
        <w:rPr>
          <w:rFonts w:ascii="Times New Roman" w:hAnsi="Times New Roman" w:cs="Times New Roman"/>
        </w:rPr>
      </w:pPr>
      <w:r w:rsidRPr="006D550A">
        <w:rPr>
          <w:rFonts w:ascii="Times New Roman" w:hAnsi="Times New Roman" w:cs="Times New Roman"/>
        </w:rPr>
        <w:lastRenderedPageBreak/>
        <w:t xml:space="preserve">Dahab, S. (2024, March). </w:t>
      </w:r>
      <w:r w:rsidRPr="006D550A">
        <w:rPr>
          <w:rFonts w:ascii="Times New Roman" w:hAnsi="Times New Roman" w:cs="Times New Roman"/>
          <w:i/>
          <w:iCs/>
        </w:rPr>
        <w:t>Publisher’s Bindings</w:t>
      </w:r>
      <w:r w:rsidRPr="006D550A">
        <w:rPr>
          <w:rFonts w:ascii="Times New Roman" w:hAnsi="Times New Roman" w:cs="Times New Roman"/>
        </w:rPr>
        <w:t xml:space="preserve"> [Resource Guide]. The Library Company of Philadelphia. </w:t>
      </w:r>
      <w:hyperlink r:id="rId9" w:anchor="toggle-id-2-closed" w:history="1">
        <w:r w:rsidRPr="006D550A">
          <w:rPr>
            <w:rStyle w:val="Hyperlink"/>
            <w:rFonts w:ascii="Times New Roman" w:hAnsi="Times New Roman" w:cs="Times New Roman"/>
          </w:rPr>
          <w:t>https://librarycompany.org/subject-guide-publishers-bindings/#toggle-id-2-closed</w:t>
        </w:r>
      </w:hyperlink>
    </w:p>
    <w:p w14:paraId="171DF291" w14:textId="77777777" w:rsidR="006D550A" w:rsidRDefault="006D550A" w:rsidP="006D550A">
      <w:pPr>
        <w:spacing w:line="480" w:lineRule="auto"/>
        <w:ind w:left="720" w:hanging="720"/>
        <w:rPr>
          <w:rFonts w:ascii="Times New Roman" w:hAnsi="Times New Roman" w:cs="Times New Roman"/>
        </w:rPr>
      </w:pPr>
      <w:r w:rsidRPr="006D550A">
        <w:rPr>
          <w:rFonts w:ascii="Times New Roman" w:hAnsi="Times New Roman" w:cs="Times New Roman"/>
        </w:rPr>
        <w:t xml:space="preserve">Davis, D. G., &amp; Mark Tucker, J. (2016). The impact of the </w:t>
      </w:r>
      <w:proofErr w:type="spellStart"/>
      <w:r w:rsidRPr="006D550A">
        <w:rPr>
          <w:rFonts w:ascii="Times New Roman" w:hAnsi="Times New Roman" w:cs="Times New Roman"/>
        </w:rPr>
        <w:t>christian</w:t>
      </w:r>
      <w:proofErr w:type="spellEnd"/>
      <w:r w:rsidRPr="006D550A">
        <w:rPr>
          <w:rFonts w:ascii="Times New Roman" w:hAnsi="Times New Roman" w:cs="Times New Roman"/>
        </w:rPr>
        <w:t xml:space="preserve"> faith on books, publishing, and libraries: American organizations and leaders in the nineteenth and twentieth centuries. </w:t>
      </w:r>
      <w:r w:rsidRPr="006D550A">
        <w:rPr>
          <w:rFonts w:ascii="Times New Roman" w:hAnsi="Times New Roman" w:cs="Times New Roman"/>
          <w:i/>
          <w:iCs/>
        </w:rPr>
        <w:t>Library &amp; Information History</w:t>
      </w:r>
      <w:r w:rsidRPr="006D550A">
        <w:rPr>
          <w:rFonts w:ascii="Times New Roman" w:hAnsi="Times New Roman" w:cs="Times New Roman"/>
        </w:rPr>
        <w:t>, </w:t>
      </w:r>
      <w:r w:rsidRPr="006D550A">
        <w:rPr>
          <w:rFonts w:ascii="Times New Roman" w:hAnsi="Times New Roman" w:cs="Times New Roman"/>
          <w:i/>
          <w:iCs/>
        </w:rPr>
        <w:t>32</w:t>
      </w:r>
      <w:r w:rsidRPr="006D550A">
        <w:rPr>
          <w:rFonts w:ascii="Times New Roman" w:hAnsi="Times New Roman" w:cs="Times New Roman"/>
        </w:rPr>
        <w:t xml:space="preserve">(1/2), 112–122. </w:t>
      </w:r>
      <w:hyperlink r:id="rId10" w:history="1">
        <w:r w:rsidRPr="006D550A">
          <w:rPr>
            <w:rStyle w:val="Hyperlink"/>
            <w:rFonts w:ascii="Times New Roman" w:hAnsi="Times New Roman" w:cs="Times New Roman"/>
          </w:rPr>
          <w:t>https://doi-org.proxy.ulib.uits.iu.edu/10.1080/17583489.2015.1128633</w:t>
        </w:r>
      </w:hyperlink>
    </w:p>
    <w:p w14:paraId="42CF43E0" w14:textId="77777777" w:rsidR="006D550A" w:rsidRDefault="006D550A" w:rsidP="006D550A">
      <w:pPr>
        <w:spacing w:line="480" w:lineRule="auto"/>
        <w:ind w:left="720" w:hanging="720"/>
        <w:rPr>
          <w:rFonts w:ascii="Times New Roman" w:hAnsi="Times New Roman" w:cs="Times New Roman"/>
        </w:rPr>
      </w:pPr>
      <w:r w:rsidRPr="00456A2A">
        <w:rPr>
          <w:rFonts w:ascii="Times New Roman" w:hAnsi="Times New Roman" w:cs="Times New Roman"/>
        </w:rPr>
        <w:t xml:space="preserve">Gaskell, P. (2012). </w:t>
      </w:r>
      <w:r w:rsidRPr="00456A2A">
        <w:rPr>
          <w:rFonts w:ascii="Times New Roman" w:hAnsi="Times New Roman" w:cs="Times New Roman"/>
          <w:i/>
          <w:iCs/>
        </w:rPr>
        <w:t>A new introduction to bibliography: The classic manual of bibliography</w:t>
      </w:r>
      <w:r w:rsidRPr="00456A2A">
        <w:rPr>
          <w:rFonts w:ascii="Times New Roman" w:hAnsi="Times New Roman" w:cs="Times New Roman"/>
        </w:rPr>
        <w:t>. Oak Knoll Press [</w:t>
      </w:r>
      <w:proofErr w:type="spellStart"/>
      <w:r w:rsidRPr="00456A2A">
        <w:rPr>
          <w:rFonts w:ascii="Times New Roman" w:hAnsi="Times New Roman" w:cs="Times New Roman"/>
        </w:rPr>
        <w:t>u.a.</w:t>
      </w:r>
      <w:proofErr w:type="spellEnd"/>
      <w:r w:rsidRPr="00456A2A">
        <w:rPr>
          <w:rFonts w:ascii="Times New Roman" w:hAnsi="Times New Roman" w:cs="Times New Roman"/>
        </w:rPr>
        <w:t>].</w:t>
      </w:r>
    </w:p>
    <w:p w14:paraId="4614915C" w14:textId="77777777" w:rsidR="006D550A" w:rsidRDefault="006D550A" w:rsidP="006D550A">
      <w:pPr>
        <w:spacing w:line="480" w:lineRule="auto"/>
        <w:ind w:left="720" w:hanging="720"/>
        <w:rPr>
          <w:rFonts w:ascii="Times New Roman" w:hAnsi="Times New Roman" w:cs="Times New Roman"/>
        </w:rPr>
      </w:pPr>
      <w:r w:rsidRPr="006B0DED">
        <w:rPr>
          <w:rFonts w:ascii="Times New Roman" w:hAnsi="Times New Roman" w:cs="Times New Roman"/>
        </w:rPr>
        <w:t>Haas, W. J. (1996). America’s libraries: distinguished past, difficult future. </w:t>
      </w:r>
      <w:r w:rsidRPr="006B0DED">
        <w:rPr>
          <w:rFonts w:ascii="Times New Roman" w:hAnsi="Times New Roman" w:cs="Times New Roman"/>
          <w:i/>
          <w:iCs/>
        </w:rPr>
        <w:t>Proceedings of the American Philosophical Society</w:t>
      </w:r>
      <w:r w:rsidRPr="006B0DED">
        <w:rPr>
          <w:rFonts w:ascii="Times New Roman" w:hAnsi="Times New Roman" w:cs="Times New Roman"/>
        </w:rPr>
        <w:t>, </w:t>
      </w:r>
      <w:r w:rsidRPr="006B0DED">
        <w:rPr>
          <w:rFonts w:ascii="Times New Roman" w:hAnsi="Times New Roman" w:cs="Times New Roman"/>
          <w:i/>
          <w:iCs/>
        </w:rPr>
        <w:t>140</w:t>
      </w:r>
      <w:r w:rsidRPr="006B0DED">
        <w:rPr>
          <w:rFonts w:ascii="Times New Roman" w:hAnsi="Times New Roman" w:cs="Times New Roman"/>
        </w:rPr>
        <w:t xml:space="preserve">(2), 125–134. </w:t>
      </w:r>
      <w:hyperlink r:id="rId11" w:history="1">
        <w:r w:rsidRPr="006B0DED">
          <w:rPr>
            <w:rStyle w:val="Hyperlink"/>
            <w:rFonts w:ascii="Times New Roman" w:hAnsi="Times New Roman" w:cs="Times New Roman"/>
          </w:rPr>
          <w:t>http://www.jstor.org/stable/987319</w:t>
        </w:r>
      </w:hyperlink>
    </w:p>
    <w:p w14:paraId="18DE52BF" w14:textId="77777777" w:rsidR="006D550A" w:rsidRDefault="006D550A" w:rsidP="006D550A">
      <w:pPr>
        <w:spacing w:line="480" w:lineRule="auto"/>
        <w:ind w:left="720" w:hanging="720"/>
        <w:rPr>
          <w:rFonts w:ascii="Times New Roman" w:hAnsi="Times New Roman" w:cs="Times New Roman"/>
        </w:rPr>
      </w:pPr>
      <w:r w:rsidRPr="00E93794">
        <w:rPr>
          <w:rFonts w:ascii="Times New Roman" w:hAnsi="Times New Roman" w:cs="Times New Roman"/>
        </w:rPr>
        <w:t>Hall, D. D. (1996).</w:t>
      </w:r>
      <w:r>
        <w:rPr>
          <w:rFonts w:ascii="Times New Roman" w:hAnsi="Times New Roman" w:cs="Times New Roman"/>
        </w:rPr>
        <w:t xml:space="preserve"> </w:t>
      </w:r>
      <w:r w:rsidRPr="00E93794">
        <w:rPr>
          <w:rFonts w:ascii="Times New Roman" w:hAnsi="Times New Roman" w:cs="Times New Roman"/>
          <w:i/>
          <w:iCs/>
        </w:rPr>
        <w:t xml:space="preserve">Cultures of print: </w:t>
      </w:r>
      <w:r>
        <w:rPr>
          <w:rFonts w:ascii="Times New Roman" w:hAnsi="Times New Roman" w:cs="Times New Roman"/>
          <w:i/>
          <w:iCs/>
        </w:rPr>
        <w:t>E</w:t>
      </w:r>
      <w:r w:rsidRPr="00E93794">
        <w:rPr>
          <w:rFonts w:ascii="Times New Roman" w:hAnsi="Times New Roman" w:cs="Times New Roman"/>
          <w:i/>
          <w:iCs/>
        </w:rPr>
        <w:t>ssays in the history of the book</w:t>
      </w:r>
      <w:r>
        <w:rPr>
          <w:rFonts w:ascii="Times New Roman" w:hAnsi="Times New Roman" w:cs="Times New Roman"/>
        </w:rPr>
        <w:t xml:space="preserve"> (pp. 15-35). </w:t>
      </w:r>
      <w:r w:rsidRPr="00E93794">
        <w:rPr>
          <w:rFonts w:ascii="Times New Roman" w:hAnsi="Times New Roman" w:cs="Times New Roman"/>
        </w:rPr>
        <w:t xml:space="preserve">University of Massachusetts </w:t>
      </w:r>
      <w:r>
        <w:rPr>
          <w:rFonts w:ascii="Times New Roman" w:hAnsi="Times New Roman" w:cs="Times New Roman"/>
        </w:rPr>
        <w:t>P</w:t>
      </w:r>
      <w:r w:rsidRPr="00E93794">
        <w:rPr>
          <w:rFonts w:ascii="Times New Roman" w:hAnsi="Times New Roman" w:cs="Times New Roman"/>
        </w:rPr>
        <w:t>ress.</w:t>
      </w:r>
    </w:p>
    <w:p w14:paraId="66C2F3FC" w14:textId="77777777" w:rsidR="006D550A" w:rsidRDefault="006D550A" w:rsidP="006D550A">
      <w:pPr>
        <w:spacing w:line="480" w:lineRule="auto"/>
        <w:ind w:left="720" w:hanging="720"/>
        <w:rPr>
          <w:rFonts w:ascii="Times New Roman" w:hAnsi="Times New Roman" w:cs="Times New Roman"/>
        </w:rPr>
      </w:pPr>
      <w:r w:rsidRPr="009836FA">
        <w:rPr>
          <w:rFonts w:ascii="Times New Roman" w:hAnsi="Times New Roman" w:cs="Times New Roman"/>
        </w:rPr>
        <w:t xml:space="preserve">Jaeger, P. T., Gorham, U., Sarin, L. C., &amp; </w:t>
      </w:r>
      <w:proofErr w:type="spellStart"/>
      <w:r w:rsidRPr="009836FA">
        <w:rPr>
          <w:rFonts w:ascii="Times New Roman" w:hAnsi="Times New Roman" w:cs="Times New Roman"/>
        </w:rPr>
        <w:t>Bertot</w:t>
      </w:r>
      <w:proofErr w:type="spellEnd"/>
      <w:r w:rsidRPr="009836FA">
        <w:rPr>
          <w:rFonts w:ascii="Times New Roman" w:hAnsi="Times New Roman" w:cs="Times New Roman"/>
        </w:rPr>
        <w:t xml:space="preserve">, J. C. (2013). Libraries, </w:t>
      </w:r>
      <w:r w:rsidRPr="006612AD">
        <w:rPr>
          <w:rFonts w:ascii="Times New Roman" w:hAnsi="Times New Roman" w:cs="Times New Roman"/>
        </w:rPr>
        <w:t>policy, and politics in a democracy: four historical epochs</w:t>
      </w:r>
      <w:r w:rsidRPr="009836FA">
        <w:rPr>
          <w:rFonts w:ascii="Times New Roman" w:hAnsi="Times New Roman" w:cs="Times New Roman"/>
        </w:rPr>
        <w:t>. </w:t>
      </w:r>
      <w:r w:rsidRPr="009836FA">
        <w:rPr>
          <w:rFonts w:ascii="Times New Roman" w:hAnsi="Times New Roman" w:cs="Times New Roman"/>
          <w:i/>
          <w:iCs/>
        </w:rPr>
        <w:t>The Library Quarterly: Information, Community, Policy</w:t>
      </w:r>
      <w:r w:rsidRPr="009836FA">
        <w:rPr>
          <w:rFonts w:ascii="Times New Roman" w:hAnsi="Times New Roman" w:cs="Times New Roman"/>
        </w:rPr>
        <w:t>, </w:t>
      </w:r>
      <w:r w:rsidRPr="009836FA">
        <w:rPr>
          <w:rFonts w:ascii="Times New Roman" w:hAnsi="Times New Roman" w:cs="Times New Roman"/>
          <w:i/>
          <w:iCs/>
        </w:rPr>
        <w:t>83</w:t>
      </w:r>
      <w:r w:rsidRPr="009836FA">
        <w:rPr>
          <w:rFonts w:ascii="Times New Roman" w:hAnsi="Times New Roman" w:cs="Times New Roman"/>
        </w:rPr>
        <w:t xml:space="preserve">(2), 166–181. </w:t>
      </w:r>
      <w:hyperlink r:id="rId12" w:history="1">
        <w:r w:rsidRPr="009836FA">
          <w:rPr>
            <w:rStyle w:val="Hyperlink"/>
            <w:rFonts w:ascii="Times New Roman" w:hAnsi="Times New Roman" w:cs="Times New Roman"/>
          </w:rPr>
          <w:t>https://doi.org/10.1086/669559</w:t>
        </w:r>
      </w:hyperlink>
    </w:p>
    <w:p w14:paraId="0A1B551A" w14:textId="77777777" w:rsidR="006D550A" w:rsidRDefault="006D550A" w:rsidP="006D550A">
      <w:pPr>
        <w:spacing w:line="480" w:lineRule="auto"/>
        <w:ind w:left="720" w:hanging="720"/>
        <w:rPr>
          <w:rFonts w:ascii="Times New Roman" w:hAnsi="Times New Roman" w:cs="Times New Roman"/>
        </w:rPr>
      </w:pPr>
      <w:proofErr w:type="spellStart"/>
      <w:r w:rsidRPr="006D550A">
        <w:rPr>
          <w:rFonts w:ascii="Times New Roman" w:hAnsi="Times New Roman" w:cs="Times New Roman"/>
        </w:rPr>
        <w:t>Kevane</w:t>
      </w:r>
      <w:proofErr w:type="spellEnd"/>
      <w:r w:rsidRPr="006D550A">
        <w:rPr>
          <w:rFonts w:ascii="Times New Roman" w:hAnsi="Times New Roman" w:cs="Times New Roman"/>
        </w:rPr>
        <w:t xml:space="preserve">, M., &amp; Sundstrom, W. A. (2014). The development of public libraries in the </w:t>
      </w:r>
      <w:proofErr w:type="gramStart"/>
      <w:r w:rsidRPr="006D550A">
        <w:rPr>
          <w:rFonts w:ascii="Times New Roman" w:hAnsi="Times New Roman" w:cs="Times New Roman"/>
        </w:rPr>
        <w:t>united states</w:t>
      </w:r>
      <w:proofErr w:type="gramEnd"/>
      <w:r w:rsidRPr="006D550A">
        <w:rPr>
          <w:rFonts w:ascii="Times New Roman" w:hAnsi="Times New Roman" w:cs="Times New Roman"/>
        </w:rPr>
        <w:t>, 1870-1930: A quantitative assessment. </w:t>
      </w:r>
      <w:r w:rsidRPr="006D550A">
        <w:rPr>
          <w:rFonts w:ascii="Times New Roman" w:hAnsi="Times New Roman" w:cs="Times New Roman"/>
          <w:i/>
          <w:iCs/>
        </w:rPr>
        <w:t>Information &amp; Culture</w:t>
      </w:r>
      <w:r w:rsidRPr="006D550A">
        <w:rPr>
          <w:rFonts w:ascii="Times New Roman" w:hAnsi="Times New Roman" w:cs="Times New Roman"/>
        </w:rPr>
        <w:t>, </w:t>
      </w:r>
      <w:r w:rsidRPr="006D550A">
        <w:rPr>
          <w:rFonts w:ascii="Times New Roman" w:hAnsi="Times New Roman" w:cs="Times New Roman"/>
          <w:i/>
          <w:iCs/>
        </w:rPr>
        <w:t>49</w:t>
      </w:r>
      <w:r w:rsidRPr="006D550A">
        <w:rPr>
          <w:rFonts w:ascii="Times New Roman" w:hAnsi="Times New Roman" w:cs="Times New Roman"/>
        </w:rPr>
        <w:t xml:space="preserve">(2), 117–144. </w:t>
      </w:r>
      <w:hyperlink r:id="rId13" w:history="1">
        <w:r w:rsidRPr="006D550A">
          <w:rPr>
            <w:rStyle w:val="Hyperlink"/>
            <w:rFonts w:ascii="Times New Roman" w:hAnsi="Times New Roman" w:cs="Times New Roman"/>
          </w:rPr>
          <w:t>http://www.jstor.org/stable/43737483</w:t>
        </w:r>
      </w:hyperlink>
    </w:p>
    <w:p w14:paraId="37A21754" w14:textId="77777777" w:rsidR="006D550A" w:rsidRDefault="006D550A" w:rsidP="006D550A">
      <w:pPr>
        <w:spacing w:line="480" w:lineRule="auto"/>
        <w:rPr>
          <w:rFonts w:ascii="Times New Roman" w:hAnsi="Times New Roman" w:cs="Times New Roman"/>
        </w:rPr>
      </w:pPr>
      <w:proofErr w:type="spellStart"/>
      <w:r w:rsidRPr="00217446">
        <w:rPr>
          <w:rFonts w:ascii="Times New Roman" w:hAnsi="Times New Roman" w:cs="Times New Roman"/>
        </w:rPr>
        <w:t>Kurlansky</w:t>
      </w:r>
      <w:proofErr w:type="spellEnd"/>
      <w:r w:rsidRPr="00217446">
        <w:rPr>
          <w:rFonts w:ascii="Times New Roman" w:hAnsi="Times New Roman" w:cs="Times New Roman"/>
        </w:rPr>
        <w:t xml:space="preserve">, M. (2016). </w:t>
      </w:r>
      <w:r w:rsidRPr="00217446">
        <w:rPr>
          <w:rFonts w:ascii="Times New Roman" w:hAnsi="Times New Roman" w:cs="Times New Roman"/>
          <w:i/>
          <w:iCs/>
        </w:rPr>
        <w:t>Paper: paging through history</w:t>
      </w:r>
      <w:r w:rsidRPr="00217446">
        <w:rPr>
          <w:rFonts w:ascii="Times New Roman" w:hAnsi="Times New Roman" w:cs="Times New Roman"/>
        </w:rPr>
        <w:t xml:space="preserve"> (First edition). W.W. Norton &amp; Company.</w:t>
      </w:r>
    </w:p>
    <w:p w14:paraId="676B5436" w14:textId="77777777" w:rsidR="006D550A" w:rsidRPr="00A62F19" w:rsidRDefault="006D550A" w:rsidP="006D550A">
      <w:pPr>
        <w:spacing w:line="480" w:lineRule="auto"/>
        <w:ind w:left="720" w:hanging="720"/>
        <w:rPr>
          <w:rFonts w:ascii="Times New Roman" w:hAnsi="Times New Roman" w:cs="Times New Roman"/>
        </w:rPr>
      </w:pPr>
      <w:r w:rsidRPr="006D550A">
        <w:rPr>
          <w:rFonts w:ascii="Times New Roman" w:hAnsi="Times New Roman" w:cs="Times New Roman"/>
        </w:rPr>
        <w:lastRenderedPageBreak/>
        <w:t xml:space="preserve">Makala, J. M. (2024). </w:t>
      </w:r>
      <w:r w:rsidRPr="006D550A">
        <w:rPr>
          <w:rFonts w:ascii="Times New Roman" w:hAnsi="Times New Roman" w:cs="Times New Roman"/>
          <w:i/>
          <w:iCs/>
        </w:rPr>
        <w:t xml:space="preserve">Publishing plates: Stereotyping and electrotyping in </w:t>
      </w:r>
      <w:proofErr w:type="gramStart"/>
      <w:r w:rsidRPr="006D550A">
        <w:rPr>
          <w:rFonts w:ascii="Times New Roman" w:hAnsi="Times New Roman" w:cs="Times New Roman"/>
          <w:i/>
          <w:iCs/>
        </w:rPr>
        <w:t>nineteenth-century</w:t>
      </w:r>
      <w:proofErr w:type="gramEnd"/>
      <w:r w:rsidRPr="006D550A">
        <w:rPr>
          <w:rFonts w:ascii="Times New Roman" w:hAnsi="Times New Roman" w:cs="Times New Roman"/>
          <w:i/>
          <w:iCs/>
        </w:rPr>
        <w:t xml:space="preserve"> us print culture</w:t>
      </w:r>
      <w:r w:rsidRPr="006D550A">
        <w:rPr>
          <w:rFonts w:ascii="Times New Roman" w:hAnsi="Times New Roman" w:cs="Times New Roman"/>
        </w:rPr>
        <w:t>. Penn State University Press.</w:t>
      </w:r>
    </w:p>
    <w:p w14:paraId="1EE77EE5" w14:textId="77777777" w:rsidR="006D550A" w:rsidRPr="006C65F5" w:rsidRDefault="006D550A" w:rsidP="006D550A">
      <w:pPr>
        <w:spacing w:line="480" w:lineRule="auto"/>
        <w:ind w:left="720" w:hanging="720"/>
        <w:rPr>
          <w:rFonts w:ascii="Times New Roman" w:hAnsi="Times New Roman" w:cs="Times New Roman"/>
        </w:rPr>
      </w:pPr>
      <w:r w:rsidRPr="006C65F5">
        <w:rPr>
          <w:rFonts w:ascii="Times New Roman" w:hAnsi="Times New Roman" w:cs="Times New Roman"/>
        </w:rPr>
        <w:t xml:space="preserve">McMullen, H. (1985). The very slow decline of the </w:t>
      </w:r>
      <w:proofErr w:type="spellStart"/>
      <w:r w:rsidRPr="006C65F5">
        <w:rPr>
          <w:rFonts w:ascii="Times New Roman" w:hAnsi="Times New Roman" w:cs="Times New Roman"/>
        </w:rPr>
        <w:t>american</w:t>
      </w:r>
      <w:proofErr w:type="spellEnd"/>
      <w:r w:rsidRPr="006C65F5">
        <w:rPr>
          <w:rFonts w:ascii="Times New Roman" w:hAnsi="Times New Roman" w:cs="Times New Roman"/>
        </w:rPr>
        <w:t xml:space="preserve"> social library. </w:t>
      </w:r>
      <w:r w:rsidRPr="006C65F5">
        <w:rPr>
          <w:rFonts w:ascii="Times New Roman" w:hAnsi="Times New Roman" w:cs="Times New Roman"/>
          <w:i/>
          <w:iCs/>
        </w:rPr>
        <w:t>The Library Quarterly: Information, Community, Policy</w:t>
      </w:r>
      <w:r w:rsidRPr="006C65F5">
        <w:rPr>
          <w:rFonts w:ascii="Times New Roman" w:hAnsi="Times New Roman" w:cs="Times New Roman"/>
        </w:rPr>
        <w:t>, </w:t>
      </w:r>
      <w:r w:rsidRPr="006C65F5">
        <w:rPr>
          <w:rFonts w:ascii="Times New Roman" w:hAnsi="Times New Roman" w:cs="Times New Roman"/>
          <w:i/>
          <w:iCs/>
        </w:rPr>
        <w:t>55</w:t>
      </w:r>
      <w:r w:rsidRPr="006C65F5">
        <w:rPr>
          <w:rFonts w:ascii="Times New Roman" w:hAnsi="Times New Roman" w:cs="Times New Roman"/>
        </w:rPr>
        <w:t>(2), 207–225. http://www.jstor.org/stable/4307838</w:t>
      </w:r>
    </w:p>
    <w:p w14:paraId="1F857778" w14:textId="77777777" w:rsidR="006D550A" w:rsidRPr="004E603F" w:rsidRDefault="006D550A" w:rsidP="006D550A">
      <w:pPr>
        <w:spacing w:line="480" w:lineRule="auto"/>
        <w:ind w:left="720" w:hanging="720"/>
        <w:rPr>
          <w:rFonts w:ascii="Times New Roman" w:hAnsi="Times New Roman" w:cs="Times New Roman"/>
        </w:rPr>
      </w:pPr>
      <w:r w:rsidRPr="00F72A4E">
        <w:rPr>
          <w:rFonts w:ascii="Times New Roman" w:hAnsi="Times New Roman" w:cs="Times New Roman"/>
        </w:rPr>
        <w:t>M</w:t>
      </w:r>
      <w:r>
        <w:rPr>
          <w:rFonts w:ascii="Times New Roman" w:hAnsi="Times New Roman" w:cs="Times New Roman"/>
        </w:rPr>
        <w:t>oran</w:t>
      </w:r>
      <w:r w:rsidRPr="00F72A4E">
        <w:rPr>
          <w:rFonts w:ascii="Times New Roman" w:hAnsi="Times New Roman" w:cs="Times New Roman"/>
        </w:rPr>
        <w:t>, J. C. (1971). The Development of The Printing Press. </w:t>
      </w:r>
      <w:r w:rsidRPr="00F72A4E">
        <w:rPr>
          <w:rFonts w:ascii="Times New Roman" w:hAnsi="Times New Roman" w:cs="Times New Roman"/>
          <w:i/>
          <w:iCs/>
        </w:rPr>
        <w:t>Journal of the Royal Society of Arts</w:t>
      </w:r>
      <w:r w:rsidRPr="00F72A4E">
        <w:rPr>
          <w:rFonts w:ascii="Times New Roman" w:hAnsi="Times New Roman" w:cs="Times New Roman"/>
        </w:rPr>
        <w:t>, </w:t>
      </w:r>
      <w:r w:rsidRPr="00F72A4E">
        <w:rPr>
          <w:rFonts w:ascii="Times New Roman" w:hAnsi="Times New Roman" w:cs="Times New Roman"/>
          <w:i/>
          <w:iCs/>
        </w:rPr>
        <w:t>119</w:t>
      </w:r>
      <w:r w:rsidRPr="00F72A4E">
        <w:rPr>
          <w:rFonts w:ascii="Times New Roman" w:hAnsi="Times New Roman" w:cs="Times New Roman"/>
        </w:rPr>
        <w:t>(5177), 281–293. http://www.jstor.org/stable/41370709</w:t>
      </w:r>
    </w:p>
    <w:p w14:paraId="2D44E74E" w14:textId="77777777" w:rsidR="006D550A" w:rsidRPr="00A0277D" w:rsidRDefault="006D550A" w:rsidP="006D550A">
      <w:pPr>
        <w:spacing w:line="480" w:lineRule="auto"/>
        <w:ind w:left="720" w:hanging="720"/>
        <w:rPr>
          <w:rFonts w:ascii="Times New Roman" w:hAnsi="Times New Roman" w:cs="Times New Roman"/>
          <w:color w:val="467886" w:themeColor="hyperlink"/>
          <w:u w:val="single"/>
        </w:rPr>
      </w:pPr>
      <w:r w:rsidRPr="00A0277D">
        <w:rPr>
          <w:rFonts w:ascii="Times New Roman" w:hAnsi="Times New Roman" w:cs="Times New Roman"/>
        </w:rPr>
        <w:t>Silverman, R. (2007). Can’t Judge a Book without Its Binding. </w:t>
      </w:r>
      <w:r w:rsidRPr="00A0277D">
        <w:rPr>
          <w:rFonts w:ascii="Times New Roman" w:hAnsi="Times New Roman" w:cs="Times New Roman"/>
          <w:i/>
          <w:iCs/>
        </w:rPr>
        <w:t>Libraries &amp; the Cultural Record</w:t>
      </w:r>
      <w:r w:rsidRPr="00A0277D">
        <w:rPr>
          <w:rFonts w:ascii="Times New Roman" w:hAnsi="Times New Roman" w:cs="Times New Roman"/>
        </w:rPr>
        <w:t>, </w:t>
      </w:r>
      <w:r w:rsidRPr="00A0277D">
        <w:rPr>
          <w:rFonts w:ascii="Times New Roman" w:hAnsi="Times New Roman" w:cs="Times New Roman"/>
          <w:i/>
          <w:iCs/>
        </w:rPr>
        <w:t>42</w:t>
      </w:r>
      <w:r w:rsidRPr="00A0277D">
        <w:rPr>
          <w:rFonts w:ascii="Times New Roman" w:hAnsi="Times New Roman" w:cs="Times New Roman"/>
        </w:rPr>
        <w:t xml:space="preserve">(3), 291–307. </w:t>
      </w:r>
      <w:hyperlink r:id="rId14" w:history="1">
        <w:r w:rsidRPr="00A0277D">
          <w:rPr>
            <w:rStyle w:val="Hyperlink"/>
            <w:rFonts w:ascii="Times New Roman" w:hAnsi="Times New Roman" w:cs="Times New Roman"/>
          </w:rPr>
          <w:t>https://doi.org/10.1353/lac.2007.0051</w:t>
        </w:r>
      </w:hyperlink>
    </w:p>
    <w:p w14:paraId="1DF3F75D" w14:textId="46901736" w:rsidR="00D867EB" w:rsidRPr="000F3C6E" w:rsidRDefault="006D550A" w:rsidP="006D550A">
      <w:pPr>
        <w:spacing w:line="480" w:lineRule="auto"/>
        <w:ind w:left="720" w:hanging="720"/>
        <w:rPr>
          <w:rFonts w:ascii="Times New Roman" w:hAnsi="Times New Roman" w:cs="Times New Roman"/>
        </w:rPr>
      </w:pPr>
      <w:r w:rsidRPr="0085028F">
        <w:rPr>
          <w:rFonts w:ascii="Times New Roman" w:hAnsi="Times New Roman" w:cs="Times New Roman"/>
        </w:rPr>
        <w:t xml:space="preserve">Wiegand, W. A. (1989). The development of librarianship in the </w:t>
      </w:r>
      <w:proofErr w:type="gramStart"/>
      <w:r w:rsidRPr="0085028F">
        <w:rPr>
          <w:rFonts w:ascii="Times New Roman" w:hAnsi="Times New Roman" w:cs="Times New Roman"/>
        </w:rPr>
        <w:t>united states</w:t>
      </w:r>
      <w:proofErr w:type="gramEnd"/>
      <w:r w:rsidRPr="0085028F">
        <w:rPr>
          <w:rFonts w:ascii="Times New Roman" w:hAnsi="Times New Roman" w:cs="Times New Roman"/>
        </w:rPr>
        <w:t>. </w:t>
      </w:r>
      <w:r w:rsidRPr="0085028F">
        <w:rPr>
          <w:rFonts w:ascii="Times New Roman" w:hAnsi="Times New Roman" w:cs="Times New Roman"/>
          <w:i/>
          <w:iCs/>
        </w:rPr>
        <w:t>Libraries &amp; Culture</w:t>
      </w:r>
      <w:r w:rsidRPr="0085028F">
        <w:rPr>
          <w:rFonts w:ascii="Times New Roman" w:hAnsi="Times New Roman" w:cs="Times New Roman"/>
        </w:rPr>
        <w:t>, </w:t>
      </w:r>
      <w:r w:rsidRPr="0085028F">
        <w:rPr>
          <w:rFonts w:ascii="Times New Roman" w:hAnsi="Times New Roman" w:cs="Times New Roman"/>
          <w:i/>
          <w:iCs/>
        </w:rPr>
        <w:t>24</w:t>
      </w:r>
      <w:r w:rsidRPr="0085028F">
        <w:rPr>
          <w:rFonts w:ascii="Times New Roman" w:hAnsi="Times New Roman" w:cs="Times New Roman"/>
        </w:rPr>
        <w:t xml:space="preserve">(1), 99–109. </w:t>
      </w:r>
      <w:hyperlink r:id="rId15" w:history="1">
        <w:r w:rsidRPr="005651EB">
          <w:rPr>
            <w:rStyle w:val="Hyperlink"/>
            <w:rFonts w:ascii="Times New Roman" w:hAnsi="Times New Roman" w:cs="Times New Roman"/>
          </w:rPr>
          <w:t>http://www.jstor.org/stable/25542123</w:t>
        </w:r>
      </w:hyperlink>
    </w:p>
    <w:p w14:paraId="62A17CA7" w14:textId="77777777" w:rsidR="009B6CE3" w:rsidRPr="009B6CE3" w:rsidRDefault="009B6CE3" w:rsidP="009B6CE3">
      <w:pPr>
        <w:spacing w:line="480" w:lineRule="auto"/>
        <w:rPr>
          <w:rFonts w:ascii="Times New Roman" w:hAnsi="Times New Roman" w:cs="Times New Roman"/>
        </w:rPr>
      </w:pPr>
    </w:p>
    <w:sectPr w:rsidR="009B6CE3" w:rsidRPr="009B6CE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FD515" w14:textId="77777777" w:rsidR="001E37F2" w:rsidRDefault="001E37F2" w:rsidP="009B6CE3">
      <w:pPr>
        <w:spacing w:after="0" w:line="240" w:lineRule="auto"/>
      </w:pPr>
      <w:r>
        <w:separator/>
      </w:r>
    </w:p>
  </w:endnote>
  <w:endnote w:type="continuationSeparator" w:id="0">
    <w:p w14:paraId="31DEB6A2" w14:textId="77777777" w:rsidR="001E37F2" w:rsidRDefault="001E37F2" w:rsidP="009B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60FD7" w14:textId="77777777" w:rsidR="001E37F2" w:rsidRDefault="001E37F2" w:rsidP="009B6CE3">
      <w:pPr>
        <w:spacing w:after="0" w:line="240" w:lineRule="auto"/>
      </w:pPr>
      <w:r>
        <w:separator/>
      </w:r>
    </w:p>
  </w:footnote>
  <w:footnote w:type="continuationSeparator" w:id="0">
    <w:p w14:paraId="52BC5777" w14:textId="77777777" w:rsidR="001E37F2" w:rsidRDefault="001E37F2" w:rsidP="009B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1503466"/>
      <w:docPartObj>
        <w:docPartGallery w:val="Page Numbers (Top of Page)"/>
        <w:docPartUnique/>
      </w:docPartObj>
    </w:sdtPr>
    <w:sdtContent>
      <w:p w14:paraId="27A0FFA7" w14:textId="14E12736" w:rsidR="009B6CE3" w:rsidRDefault="009B6CE3" w:rsidP="009B6C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60E0C8A" w14:textId="6812D1C7" w:rsidR="009B6CE3" w:rsidRDefault="002F56B2">
    <w:pPr>
      <w:pStyle w:val="Header"/>
    </w:pPr>
    <w:r>
      <w:t>THE INDUSTRIAL REVOLUTION AND THE RISE OF PUBLIC LIBRARIES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0D"/>
    <w:multiLevelType w:val="hybridMultilevel"/>
    <w:tmpl w:val="8646B1C0"/>
    <w:lvl w:ilvl="0" w:tplc="6CAE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704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E3"/>
    <w:rsid w:val="00001CB1"/>
    <w:rsid w:val="0007548C"/>
    <w:rsid w:val="00084DEA"/>
    <w:rsid w:val="000F3C6E"/>
    <w:rsid w:val="00122736"/>
    <w:rsid w:val="001373A6"/>
    <w:rsid w:val="001623AA"/>
    <w:rsid w:val="0016483E"/>
    <w:rsid w:val="00194CB9"/>
    <w:rsid w:val="001B1C17"/>
    <w:rsid w:val="001E37F2"/>
    <w:rsid w:val="001E7E0B"/>
    <w:rsid w:val="00206D2F"/>
    <w:rsid w:val="00207D1E"/>
    <w:rsid w:val="002C4C23"/>
    <w:rsid w:val="002D0788"/>
    <w:rsid w:val="002F56B2"/>
    <w:rsid w:val="0034421F"/>
    <w:rsid w:val="00347769"/>
    <w:rsid w:val="00356F2D"/>
    <w:rsid w:val="00384571"/>
    <w:rsid w:val="00385518"/>
    <w:rsid w:val="00395C42"/>
    <w:rsid w:val="003A4138"/>
    <w:rsid w:val="003B6C35"/>
    <w:rsid w:val="00422DE9"/>
    <w:rsid w:val="00440D64"/>
    <w:rsid w:val="004700F4"/>
    <w:rsid w:val="00490DC5"/>
    <w:rsid w:val="004971D2"/>
    <w:rsid w:val="004D011F"/>
    <w:rsid w:val="00547945"/>
    <w:rsid w:val="00560667"/>
    <w:rsid w:val="0056437A"/>
    <w:rsid w:val="00594BB2"/>
    <w:rsid w:val="0059766A"/>
    <w:rsid w:val="005D4A80"/>
    <w:rsid w:val="005E3A27"/>
    <w:rsid w:val="005E511F"/>
    <w:rsid w:val="006215E9"/>
    <w:rsid w:val="00664C75"/>
    <w:rsid w:val="006D1998"/>
    <w:rsid w:val="006D550A"/>
    <w:rsid w:val="006E494A"/>
    <w:rsid w:val="007242F2"/>
    <w:rsid w:val="00744B5C"/>
    <w:rsid w:val="007C09D2"/>
    <w:rsid w:val="00832F4A"/>
    <w:rsid w:val="008602DC"/>
    <w:rsid w:val="008C0A99"/>
    <w:rsid w:val="008E7345"/>
    <w:rsid w:val="00986446"/>
    <w:rsid w:val="009B6CE3"/>
    <w:rsid w:val="009F1CEF"/>
    <w:rsid w:val="00A02FAA"/>
    <w:rsid w:val="00A350F3"/>
    <w:rsid w:val="00AC7C67"/>
    <w:rsid w:val="00AD0861"/>
    <w:rsid w:val="00B03B98"/>
    <w:rsid w:val="00B051DC"/>
    <w:rsid w:val="00B14B28"/>
    <w:rsid w:val="00B52763"/>
    <w:rsid w:val="00B65A51"/>
    <w:rsid w:val="00BE161A"/>
    <w:rsid w:val="00BE4830"/>
    <w:rsid w:val="00C07F25"/>
    <w:rsid w:val="00C23EF1"/>
    <w:rsid w:val="00C53AF2"/>
    <w:rsid w:val="00C62105"/>
    <w:rsid w:val="00C676E9"/>
    <w:rsid w:val="00C75B69"/>
    <w:rsid w:val="00C95822"/>
    <w:rsid w:val="00C97CE2"/>
    <w:rsid w:val="00CD62A7"/>
    <w:rsid w:val="00CE2A7E"/>
    <w:rsid w:val="00CF7F07"/>
    <w:rsid w:val="00D30003"/>
    <w:rsid w:val="00D340F3"/>
    <w:rsid w:val="00D35628"/>
    <w:rsid w:val="00D5038E"/>
    <w:rsid w:val="00D816E7"/>
    <w:rsid w:val="00D867EB"/>
    <w:rsid w:val="00DB3FD1"/>
    <w:rsid w:val="00DC2DBD"/>
    <w:rsid w:val="00DD4F12"/>
    <w:rsid w:val="00DF62E6"/>
    <w:rsid w:val="00E31C70"/>
    <w:rsid w:val="00E33927"/>
    <w:rsid w:val="00E712F1"/>
    <w:rsid w:val="00F423A9"/>
    <w:rsid w:val="00F9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859535"/>
  <w15:chartTrackingRefBased/>
  <w15:docId w15:val="{4C0D3091-8ECB-DD40-97A0-4823B2AB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E3"/>
    <w:rPr>
      <w:rFonts w:eastAsiaTheme="majorEastAsia" w:cstheme="majorBidi"/>
      <w:color w:val="272727" w:themeColor="text1" w:themeTint="D8"/>
    </w:rPr>
  </w:style>
  <w:style w:type="paragraph" w:styleId="Title">
    <w:name w:val="Title"/>
    <w:basedOn w:val="Normal"/>
    <w:next w:val="Normal"/>
    <w:link w:val="TitleChar"/>
    <w:uiPriority w:val="10"/>
    <w:qFormat/>
    <w:rsid w:val="009B6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E3"/>
    <w:pPr>
      <w:spacing w:before="160"/>
      <w:jc w:val="center"/>
    </w:pPr>
    <w:rPr>
      <w:i/>
      <w:iCs/>
      <w:color w:val="404040" w:themeColor="text1" w:themeTint="BF"/>
    </w:rPr>
  </w:style>
  <w:style w:type="character" w:customStyle="1" w:styleId="QuoteChar">
    <w:name w:val="Quote Char"/>
    <w:basedOn w:val="DefaultParagraphFont"/>
    <w:link w:val="Quote"/>
    <w:uiPriority w:val="29"/>
    <w:rsid w:val="009B6CE3"/>
    <w:rPr>
      <w:i/>
      <w:iCs/>
      <w:color w:val="404040" w:themeColor="text1" w:themeTint="BF"/>
    </w:rPr>
  </w:style>
  <w:style w:type="paragraph" w:styleId="ListParagraph">
    <w:name w:val="List Paragraph"/>
    <w:basedOn w:val="Normal"/>
    <w:uiPriority w:val="34"/>
    <w:qFormat/>
    <w:rsid w:val="009B6CE3"/>
    <w:pPr>
      <w:ind w:left="720"/>
      <w:contextualSpacing/>
    </w:pPr>
  </w:style>
  <w:style w:type="character" w:styleId="IntenseEmphasis">
    <w:name w:val="Intense Emphasis"/>
    <w:basedOn w:val="DefaultParagraphFont"/>
    <w:uiPriority w:val="21"/>
    <w:qFormat/>
    <w:rsid w:val="009B6CE3"/>
    <w:rPr>
      <w:i/>
      <w:iCs/>
      <w:color w:val="0F4761" w:themeColor="accent1" w:themeShade="BF"/>
    </w:rPr>
  </w:style>
  <w:style w:type="paragraph" w:styleId="IntenseQuote">
    <w:name w:val="Intense Quote"/>
    <w:basedOn w:val="Normal"/>
    <w:next w:val="Normal"/>
    <w:link w:val="IntenseQuoteChar"/>
    <w:uiPriority w:val="30"/>
    <w:qFormat/>
    <w:rsid w:val="009B6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E3"/>
    <w:rPr>
      <w:i/>
      <w:iCs/>
      <w:color w:val="0F4761" w:themeColor="accent1" w:themeShade="BF"/>
    </w:rPr>
  </w:style>
  <w:style w:type="character" w:styleId="IntenseReference">
    <w:name w:val="Intense Reference"/>
    <w:basedOn w:val="DefaultParagraphFont"/>
    <w:uiPriority w:val="32"/>
    <w:qFormat/>
    <w:rsid w:val="009B6CE3"/>
    <w:rPr>
      <w:b/>
      <w:bCs/>
      <w:smallCaps/>
      <w:color w:val="0F4761" w:themeColor="accent1" w:themeShade="BF"/>
      <w:spacing w:val="5"/>
    </w:rPr>
  </w:style>
  <w:style w:type="paragraph" w:styleId="Header">
    <w:name w:val="header"/>
    <w:basedOn w:val="Normal"/>
    <w:link w:val="HeaderChar"/>
    <w:uiPriority w:val="99"/>
    <w:unhideWhenUsed/>
    <w:rsid w:val="009B6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CE3"/>
  </w:style>
  <w:style w:type="paragraph" w:styleId="Footer">
    <w:name w:val="footer"/>
    <w:basedOn w:val="Normal"/>
    <w:link w:val="FooterChar"/>
    <w:uiPriority w:val="99"/>
    <w:unhideWhenUsed/>
    <w:rsid w:val="009B6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CE3"/>
  </w:style>
  <w:style w:type="character" w:styleId="PageNumber">
    <w:name w:val="page number"/>
    <w:basedOn w:val="DefaultParagraphFont"/>
    <w:uiPriority w:val="99"/>
    <w:semiHidden/>
    <w:unhideWhenUsed/>
    <w:rsid w:val="009B6CE3"/>
  </w:style>
  <w:style w:type="character" w:styleId="Hyperlink">
    <w:name w:val="Hyperlink"/>
    <w:basedOn w:val="DefaultParagraphFont"/>
    <w:uiPriority w:val="99"/>
    <w:unhideWhenUsed/>
    <w:rsid w:val="006D550A"/>
    <w:rPr>
      <w:color w:val="467886" w:themeColor="hyperlink"/>
      <w:u w:val="single"/>
    </w:rPr>
  </w:style>
  <w:style w:type="character" w:styleId="FollowedHyperlink">
    <w:name w:val="FollowedHyperlink"/>
    <w:basedOn w:val="DefaultParagraphFont"/>
    <w:uiPriority w:val="99"/>
    <w:semiHidden/>
    <w:unhideWhenUsed/>
    <w:rsid w:val="006D55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s.harvard.edu/URN-3:HUL.INSTREPOS:37374618" TargetMode="External"/><Relationship Id="rId13" Type="http://schemas.openxmlformats.org/officeDocument/2006/relationships/hyperlink" Target="http://www.jstor.org/stable/437374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xfordreference-com.proxy.ulib.uits.iu.edu/view/10.1093/acref/9780198606536.001.0001/acref-9780198606536-e-0051" TargetMode="External"/><Relationship Id="rId12" Type="http://schemas.openxmlformats.org/officeDocument/2006/relationships/hyperlink" Target="https://doi.org/10.1086/66955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stable/987319" TargetMode="External"/><Relationship Id="rId5" Type="http://schemas.openxmlformats.org/officeDocument/2006/relationships/footnotes" Target="footnotes.xml"/><Relationship Id="rId15" Type="http://schemas.openxmlformats.org/officeDocument/2006/relationships/hyperlink" Target="http://www.jstor.org/stable/25542123" TargetMode="External"/><Relationship Id="rId10" Type="http://schemas.openxmlformats.org/officeDocument/2006/relationships/hyperlink" Target="https://doi-org.proxy.ulib.uits.iu.edu/10.1080/17583489.2015.1128633" TargetMode="External"/><Relationship Id="rId4" Type="http://schemas.openxmlformats.org/officeDocument/2006/relationships/webSettings" Target="webSettings.xml"/><Relationship Id="rId9" Type="http://schemas.openxmlformats.org/officeDocument/2006/relationships/hyperlink" Target="https://librarycompany.org/subject-guide-publishers-bindings/" TargetMode="External"/><Relationship Id="rId14" Type="http://schemas.openxmlformats.org/officeDocument/2006/relationships/hyperlink" Target="https://doi.org/10.1353/lac.2007.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15</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Reazin</dc:creator>
  <cp:keywords/>
  <dc:description/>
  <cp:lastModifiedBy>Connor Reazin</cp:lastModifiedBy>
  <cp:revision>65</cp:revision>
  <dcterms:created xsi:type="dcterms:W3CDTF">2025-08-01T17:54:00Z</dcterms:created>
  <dcterms:modified xsi:type="dcterms:W3CDTF">2025-08-25T16:55:00Z</dcterms:modified>
</cp:coreProperties>
</file>